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61" w:rsidRDefault="0028373A" w:rsidP="0028373A">
      <w:pPr>
        <w:spacing w:after="0"/>
      </w:pPr>
      <w:r w:rsidRPr="0028373A">
        <w:rPr>
          <w:b/>
          <w:bCs/>
        </w:rPr>
        <w:t xml:space="preserve">Job Title: </w:t>
      </w:r>
      <w:r w:rsidR="00992671" w:rsidRPr="00992671">
        <w:rPr>
          <w:b/>
          <w:bCs/>
        </w:rPr>
        <w:t>SAP S/4HANA Project EVOLVE - Subject Matter Expert (SME)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4600"/>
        <w:gridCol w:w="5200"/>
      </w:tblGrid>
      <w:tr w:rsidR="00744461" w:rsidRPr="00744461" w:rsidTr="0074446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Location: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Toronto, Ontario, Canada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Start Date: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ASAP</w:t>
            </w:r>
          </w:p>
        </w:tc>
      </w:tr>
      <w:tr w:rsidR="00744461" w:rsidRPr="00744461" w:rsidTr="0074446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Department: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Finance – Capital &amp; Treasury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Term:</w:t>
            </w:r>
            <w:r w:rsidR="00F704D6">
              <w:rPr>
                <w:rFonts w:ascii="Calibri" w:eastAsia="Times New Roman" w:hAnsi="Calibri" w:cs="Calibri"/>
                <w:color w:val="000000"/>
              </w:rPr>
              <w:t xml:space="preserve"> ~16 months, end date Nov 28</w:t>
            </w:r>
            <w:r w:rsidRPr="00744461">
              <w:rPr>
                <w:rFonts w:ascii="Calibri" w:eastAsia="Times New Roman" w:hAnsi="Calibri" w:cs="Calibri"/>
                <w:color w:val="000000"/>
              </w:rPr>
              <w:t>, 2026.</w:t>
            </w:r>
          </w:p>
        </w:tc>
      </w:tr>
      <w:tr w:rsidR="00744461" w:rsidRPr="00744461" w:rsidTr="0074446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Job Type: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Contract / Full-Time (Project-Based)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FTE Status: </w:t>
            </w:r>
            <w:r w:rsidRPr="00744461">
              <w:rPr>
                <w:rFonts w:ascii="Calibri" w:eastAsia="Times New Roman" w:hAnsi="Calibri" w:cs="Calibri"/>
                <w:bCs/>
                <w:color w:val="000000"/>
              </w:rPr>
              <w:t>1.00</w:t>
            </w:r>
          </w:p>
        </w:tc>
      </w:tr>
      <w:tr w:rsidR="00744461" w:rsidRPr="00744461" w:rsidTr="00744461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Reports To: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Manager, Finance System Solutions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Work Model: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Hybrid work model with </w:t>
            </w: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on-site presence</w:t>
            </w:r>
            <w:r w:rsidRPr="0074446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44461" w:rsidRPr="00744461" w:rsidTr="0074446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Salary Range:</w:t>
            </w:r>
            <w:r w:rsidRPr="00744461">
              <w:rPr>
                <w:rFonts w:ascii="Calibri" w:eastAsia="Times New Roman" w:hAnsi="Calibri" w:cs="Calibri"/>
                <w:color w:val="000000"/>
              </w:rPr>
              <w:t> $50.042 - $64.216/hr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61">
              <w:rPr>
                <w:rFonts w:ascii="Calibri" w:eastAsia="Times New Roman" w:hAnsi="Calibri" w:cs="Calibri"/>
                <w:color w:val="000000"/>
              </w:rPr>
              <w:t>required for workshops, testing, and training.</w:t>
            </w:r>
          </w:p>
        </w:tc>
      </w:tr>
      <w:tr w:rsidR="00744461" w:rsidRPr="00744461" w:rsidTr="0074446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461">
              <w:rPr>
                <w:rFonts w:ascii="Calibri" w:eastAsia="Times New Roman" w:hAnsi="Calibri" w:cs="Calibri"/>
                <w:b/>
                <w:bCs/>
                <w:color w:val="000000"/>
              </w:rPr>
              <w:t>Campus Site: </w:t>
            </w:r>
            <w:r w:rsidRPr="00744461">
              <w:rPr>
                <w:rFonts w:ascii="Calibri" w:eastAsia="Times New Roman" w:hAnsi="Calibri" w:cs="Calibri"/>
                <w:color w:val="000000"/>
              </w:rPr>
              <w:t>Bayview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461" w:rsidRPr="00744461" w:rsidRDefault="00744461" w:rsidP="0074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28373A" w:rsidRDefault="0028373A" w:rsidP="0028373A">
      <w:pPr>
        <w:spacing w:after="0"/>
        <w:rPr>
          <w:b/>
          <w:bCs/>
        </w:rPr>
      </w:pPr>
    </w:p>
    <w:p w:rsidR="0028373A" w:rsidRPr="0028373A" w:rsidRDefault="0028373A" w:rsidP="0028373A">
      <w:pPr>
        <w:spacing w:after="0"/>
        <w:rPr>
          <w:b/>
          <w:bCs/>
        </w:rPr>
      </w:pPr>
      <w:r w:rsidRPr="0028373A">
        <w:rPr>
          <w:b/>
          <w:bCs/>
        </w:rPr>
        <w:t>Position Summary:</w:t>
      </w:r>
    </w:p>
    <w:p w:rsidR="0028373A" w:rsidRPr="00564636" w:rsidRDefault="0028373A" w:rsidP="0028373A">
      <w:pPr>
        <w:spacing w:after="0"/>
        <w:rPr>
          <w:bCs/>
        </w:rPr>
      </w:pPr>
      <w:r w:rsidRPr="0028373A">
        <w:t xml:space="preserve">We are seeking an experienced </w:t>
      </w:r>
      <w:r w:rsidRPr="0028373A">
        <w:rPr>
          <w:bCs/>
        </w:rPr>
        <w:t xml:space="preserve">Subject Matter Expert (SME) </w:t>
      </w:r>
      <w:r w:rsidRPr="0028373A">
        <w:t xml:space="preserve">to support the successful implementation of </w:t>
      </w:r>
      <w:r w:rsidRPr="0028373A">
        <w:rPr>
          <w:bCs/>
        </w:rPr>
        <w:t>SAP S/4HANA</w:t>
      </w:r>
      <w:r w:rsidRPr="0028373A">
        <w:t xml:space="preserve"> across </w:t>
      </w:r>
      <w:r w:rsidR="00112B1F">
        <w:t xml:space="preserve">different </w:t>
      </w:r>
      <w:r w:rsidRPr="0028373A">
        <w:t xml:space="preserve">functions within the Finance portfolio. The SME will play a critical role in S/4HANA transformation project, providing </w:t>
      </w:r>
      <w:r w:rsidR="00112B1F">
        <w:t xml:space="preserve">deep functional </w:t>
      </w:r>
      <w:r w:rsidRPr="0028373A">
        <w:rPr>
          <w:bCs/>
        </w:rPr>
        <w:t xml:space="preserve">expertise in </w:t>
      </w:r>
      <w:r w:rsidR="00004B28" w:rsidRPr="00004B28">
        <w:rPr>
          <w:bCs/>
        </w:rPr>
        <w:t xml:space="preserve">finance </w:t>
      </w:r>
      <w:r w:rsidR="00004B28">
        <w:rPr>
          <w:bCs/>
        </w:rPr>
        <w:t xml:space="preserve">&amp; accounting </w:t>
      </w:r>
      <w:r w:rsidR="00004B28" w:rsidRPr="00004B28">
        <w:rPr>
          <w:bCs/>
        </w:rPr>
        <w:t xml:space="preserve">modules </w:t>
      </w:r>
      <w:r w:rsidR="00112B1F" w:rsidRPr="00112B1F">
        <w:rPr>
          <w:bCs/>
        </w:rPr>
        <w:t>Funds and Grants Management (FM/GM)</w:t>
      </w:r>
      <w:r w:rsidR="00186DFF">
        <w:rPr>
          <w:bCs/>
        </w:rPr>
        <w:t xml:space="preserve">, </w:t>
      </w:r>
      <w:r w:rsidR="00112B1F">
        <w:rPr>
          <w:bCs/>
        </w:rPr>
        <w:t xml:space="preserve">Capital &amp; Operational funding including </w:t>
      </w:r>
      <w:r w:rsidR="00112B1F" w:rsidRPr="00112B1F">
        <w:rPr>
          <w:bCs/>
        </w:rPr>
        <w:t>CAPEX and OPEX Planning &amp; Budgeting, Tre</w:t>
      </w:r>
      <w:r w:rsidR="00564636">
        <w:rPr>
          <w:bCs/>
        </w:rPr>
        <w:t xml:space="preserve">asury </w:t>
      </w:r>
      <w:r w:rsidRPr="000735BE">
        <w:t xml:space="preserve">Electronic Bank Statement (EBS) </w:t>
      </w:r>
      <w:r w:rsidR="000735BE">
        <w:t xml:space="preserve">automation </w:t>
      </w:r>
      <w:r w:rsidR="00113B0B">
        <w:t xml:space="preserve">with </w:t>
      </w:r>
      <w:r w:rsidR="00564636">
        <w:t>integration of AR</w:t>
      </w:r>
      <w:r w:rsidR="000735BE">
        <w:t xml:space="preserve"> </w:t>
      </w:r>
      <w:r w:rsidR="00564636">
        <w:t>(</w:t>
      </w:r>
      <w:r w:rsidR="000735BE">
        <w:t>HRCM</w:t>
      </w:r>
      <w:r w:rsidR="00564636">
        <w:t>)</w:t>
      </w:r>
      <w:r w:rsidR="000735BE">
        <w:t xml:space="preserve"> System</w:t>
      </w:r>
      <w:r w:rsidR="00CA0C06">
        <w:t xml:space="preserve">, SAP Ariba </w:t>
      </w:r>
      <w:r w:rsidR="00CA0C06">
        <w:rPr>
          <w:bCs/>
        </w:rPr>
        <w:t>and integration with</w:t>
      </w:r>
      <w:r w:rsidR="00186DFF">
        <w:rPr>
          <w:bCs/>
        </w:rPr>
        <w:t xml:space="preserve"> other</w:t>
      </w:r>
      <w:r w:rsidR="00CA0C06">
        <w:rPr>
          <w:bCs/>
        </w:rPr>
        <w:t xml:space="preserve"> appropriate finance modules</w:t>
      </w:r>
      <w:r w:rsidR="00004B28">
        <w:rPr>
          <w:bCs/>
        </w:rPr>
        <w:t xml:space="preserve"> as needed</w:t>
      </w:r>
      <w:r w:rsidR="00CA0C06">
        <w:rPr>
          <w:bCs/>
        </w:rPr>
        <w:t xml:space="preserve">. </w:t>
      </w:r>
      <w:r w:rsidR="00564636">
        <w:t>This role requires</w:t>
      </w:r>
      <w:r w:rsidRPr="000735BE">
        <w:t xml:space="preserve"> a solid understanding of </w:t>
      </w:r>
      <w:r w:rsidR="00113B0B">
        <w:t xml:space="preserve">hospital </w:t>
      </w:r>
      <w:r w:rsidRPr="000735BE">
        <w:t xml:space="preserve">public </w:t>
      </w:r>
      <w:r w:rsidRPr="0028373A">
        <w:t xml:space="preserve">sector </w:t>
      </w:r>
      <w:r w:rsidR="00113B0B">
        <w:t xml:space="preserve">accounting </w:t>
      </w:r>
      <w:r w:rsidRPr="0028373A">
        <w:t>standards</w:t>
      </w:r>
      <w:r w:rsidR="00113B0B">
        <w:t xml:space="preserve"> (PSAS) and Ministry of Health (MOH) funding </w:t>
      </w:r>
      <w:r w:rsidR="00564636">
        <w:t xml:space="preserve">framework/guidelines </w:t>
      </w:r>
      <w:r w:rsidRPr="0028373A">
        <w:t xml:space="preserve">and the ability to collaborate across business units to ensure accounting </w:t>
      </w:r>
      <w:r w:rsidR="000735BE">
        <w:t>compliance and business continuity</w:t>
      </w:r>
      <w:r w:rsidRPr="0028373A">
        <w:t>.</w:t>
      </w:r>
      <w:r w:rsidR="000735BE">
        <w:t xml:space="preserve"> </w:t>
      </w:r>
      <w:r w:rsidR="000735BE" w:rsidRPr="000735BE">
        <w:t>The SME supports business process design, configuration, testing, training, and knowledge transfer throughout the SAP implementation and beyond.</w:t>
      </w:r>
      <w:r w:rsidR="006B63B5" w:rsidRPr="006B63B5">
        <w:rPr>
          <w:b/>
          <w:bCs/>
        </w:rPr>
        <w:t xml:space="preserve"> </w:t>
      </w:r>
    </w:p>
    <w:p w:rsidR="0028373A" w:rsidRDefault="0028373A" w:rsidP="0028373A">
      <w:pPr>
        <w:spacing w:after="0"/>
        <w:rPr>
          <w:b/>
          <w:bCs/>
        </w:rPr>
      </w:pPr>
    </w:p>
    <w:p w:rsidR="0028373A" w:rsidRPr="006B63B5" w:rsidRDefault="0028373A" w:rsidP="0028373A">
      <w:pPr>
        <w:spacing w:after="0"/>
        <w:rPr>
          <w:b/>
          <w:bCs/>
          <w:u w:val="single"/>
        </w:rPr>
      </w:pPr>
      <w:r w:rsidRPr="006B63B5">
        <w:rPr>
          <w:b/>
          <w:bCs/>
          <w:u w:val="single"/>
        </w:rPr>
        <w:t>Key Responsibilities:</w:t>
      </w:r>
    </w:p>
    <w:p w:rsidR="004B3941" w:rsidRDefault="00D248F8" w:rsidP="00CA0C06">
      <w:pPr>
        <w:pStyle w:val="ListParagraph"/>
        <w:numPr>
          <w:ilvl w:val="0"/>
          <w:numId w:val="1"/>
        </w:numPr>
        <w:spacing w:after="0"/>
      </w:pPr>
      <w:r w:rsidRPr="0028373A">
        <w:t>Define and validate end-to-end process flows across Fina</w:t>
      </w:r>
      <w:r w:rsidR="00004B28">
        <w:t>nce,</w:t>
      </w:r>
      <w:r w:rsidR="00C1183A">
        <w:t xml:space="preserve"> Accounting,</w:t>
      </w:r>
      <w:r w:rsidR="00004B28">
        <w:t xml:space="preserve"> </w:t>
      </w:r>
      <w:r w:rsidR="002F15E6">
        <w:t>and Capital</w:t>
      </w:r>
      <w:r w:rsidR="00004B28">
        <w:t xml:space="preserve"> &amp; Treasury teams</w:t>
      </w:r>
      <w:r w:rsidR="00923477">
        <w:t>.</w:t>
      </w:r>
    </w:p>
    <w:p w:rsidR="00004B28" w:rsidRPr="00004B28" w:rsidRDefault="00004B28" w:rsidP="00004B28">
      <w:pPr>
        <w:pStyle w:val="ListParagraph"/>
        <w:numPr>
          <w:ilvl w:val="0"/>
          <w:numId w:val="1"/>
        </w:numPr>
      </w:pPr>
      <w:r w:rsidRPr="00004B28">
        <w:t>In-depth understanding of hospital finance operations, particularly grant lifecycle and government-funded projects and operations.</w:t>
      </w:r>
    </w:p>
    <w:p w:rsidR="00004B28" w:rsidRDefault="00004B28" w:rsidP="00004B28">
      <w:pPr>
        <w:pStyle w:val="ListParagraph"/>
        <w:numPr>
          <w:ilvl w:val="0"/>
          <w:numId w:val="1"/>
        </w:numPr>
        <w:rPr>
          <w:bCs/>
        </w:rPr>
      </w:pPr>
      <w:r w:rsidRPr="00004B28">
        <w:rPr>
          <w:bCs/>
        </w:rPr>
        <w:t>Solid knowledge of Operational</w:t>
      </w:r>
      <w:r>
        <w:rPr>
          <w:bCs/>
        </w:rPr>
        <w:t xml:space="preserve"> (OPEX) &amp; Capital (CAPEX) funding including </w:t>
      </w:r>
      <w:r w:rsidRPr="00004B28">
        <w:rPr>
          <w:bCs/>
        </w:rPr>
        <w:t>Planning &amp; Budgeting using an auxiliary budget system e.g. IBM PA TM1 and connec</w:t>
      </w:r>
      <w:r>
        <w:rPr>
          <w:bCs/>
        </w:rPr>
        <w:t>ting the reporting with S4 HANA.</w:t>
      </w:r>
    </w:p>
    <w:p w:rsidR="00C1183A" w:rsidRPr="00004B28" w:rsidRDefault="00C1183A" w:rsidP="00C1183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Comprehensive knowledge of S/4HANA </w:t>
      </w:r>
      <w:r w:rsidRPr="00C1183A">
        <w:rPr>
          <w:bCs/>
        </w:rPr>
        <w:t>Treasury module, including cash flow forecasting, Multi-Bank Connectivity (MBC), Accounts Receivable systems (HRCM), and Electronic Bank Statement (EBS) reconciliation.</w:t>
      </w:r>
    </w:p>
    <w:p w:rsidR="00004B28" w:rsidRPr="00004B28" w:rsidRDefault="00004B28" w:rsidP="00004B28">
      <w:pPr>
        <w:pStyle w:val="ListParagraph"/>
        <w:numPr>
          <w:ilvl w:val="0"/>
          <w:numId w:val="1"/>
        </w:numPr>
      </w:pPr>
      <w:r w:rsidRPr="00004B28">
        <w:t xml:space="preserve">Provide </w:t>
      </w:r>
      <w:r>
        <w:t xml:space="preserve">expertise and </w:t>
      </w:r>
      <w:r w:rsidRPr="00004B28">
        <w:t xml:space="preserve">input on integration touchpoints </w:t>
      </w:r>
      <w:r>
        <w:t>of</w:t>
      </w:r>
      <w:r w:rsidRPr="00004B28">
        <w:t xml:space="preserve"> HR Mini Master (cost centre ownership/approvals), Supply Chain and Treasury (cash flow management).</w:t>
      </w:r>
    </w:p>
    <w:p w:rsidR="00C1183A" w:rsidRPr="00C1183A" w:rsidRDefault="00C1183A" w:rsidP="00C1183A">
      <w:pPr>
        <w:pStyle w:val="ListParagraph"/>
        <w:numPr>
          <w:ilvl w:val="0"/>
          <w:numId w:val="1"/>
        </w:numPr>
      </w:pPr>
      <w:r w:rsidRPr="00C1183A">
        <w:t>Contribute to the development of test scenarios, UAT execution, and system validation.</w:t>
      </w:r>
    </w:p>
    <w:p w:rsidR="00C1183A" w:rsidRPr="00C1183A" w:rsidRDefault="00C1183A" w:rsidP="00C1183A">
      <w:pPr>
        <w:pStyle w:val="ListParagraph"/>
        <w:numPr>
          <w:ilvl w:val="0"/>
          <w:numId w:val="1"/>
        </w:numPr>
      </w:pPr>
      <w:r w:rsidRPr="00C1183A">
        <w:t>Assist in resolving cross-functional issues involving finance, supply chain, IT, HR (cost centre ownership), and external banking systems.</w:t>
      </w:r>
    </w:p>
    <w:p w:rsidR="00C1183A" w:rsidRPr="00C1183A" w:rsidRDefault="00C1183A" w:rsidP="00C1183A">
      <w:pPr>
        <w:pStyle w:val="ListParagraph"/>
        <w:numPr>
          <w:ilvl w:val="0"/>
          <w:numId w:val="1"/>
        </w:numPr>
      </w:pPr>
      <w:r w:rsidRPr="00C1183A">
        <w:t>Provide training and documentation to stakeholders on new S/4HANA processes including end-user documentation and user guides.</w:t>
      </w:r>
    </w:p>
    <w:p w:rsidR="00C1183A" w:rsidRDefault="00C1183A" w:rsidP="00C1183A">
      <w:pPr>
        <w:pStyle w:val="ListParagraph"/>
        <w:numPr>
          <w:ilvl w:val="0"/>
          <w:numId w:val="1"/>
        </w:numPr>
      </w:pPr>
      <w:r w:rsidRPr="00C1183A">
        <w:t>Support stakeholder onboarding to new SAP S/4HANA processes.</w:t>
      </w:r>
    </w:p>
    <w:p w:rsidR="00C1183A" w:rsidRDefault="0028373A" w:rsidP="00C1183A">
      <w:pPr>
        <w:pStyle w:val="ListParagraph"/>
        <w:numPr>
          <w:ilvl w:val="0"/>
          <w:numId w:val="1"/>
        </w:numPr>
      </w:pPr>
      <w:r w:rsidRPr="0028373A">
        <w:t xml:space="preserve">Act as a liaison between Finance users and the SAP implementation team to </w:t>
      </w:r>
      <w:r w:rsidRPr="00C1183A">
        <w:rPr>
          <w:bCs/>
        </w:rPr>
        <w:t>ensure end-user needs and accounting compliance are met</w:t>
      </w:r>
      <w:r w:rsidRPr="0028373A">
        <w:t>.</w:t>
      </w:r>
    </w:p>
    <w:p w:rsidR="0028373A" w:rsidRPr="00962802" w:rsidRDefault="00962802" w:rsidP="00C1183A">
      <w:pPr>
        <w:pStyle w:val="ListParagraph"/>
        <w:numPr>
          <w:ilvl w:val="0"/>
          <w:numId w:val="1"/>
        </w:numPr>
      </w:pPr>
      <w:r w:rsidRPr="00962802">
        <w:t>Provide post-go-live support and recommend continuous improvements to business processes and system configuration.</w:t>
      </w:r>
    </w:p>
    <w:p w:rsidR="0028373A" w:rsidRPr="0028373A" w:rsidRDefault="0028373A" w:rsidP="0028373A">
      <w:pPr>
        <w:spacing w:after="0"/>
        <w:rPr>
          <w:b/>
          <w:bCs/>
        </w:rPr>
      </w:pPr>
      <w:r w:rsidRPr="0028373A">
        <w:rPr>
          <w:b/>
          <w:bCs/>
        </w:rPr>
        <w:t>Qualifications &amp; Experience:</w:t>
      </w:r>
    </w:p>
    <w:p w:rsidR="0028373A" w:rsidRPr="0028373A" w:rsidRDefault="00D248F8" w:rsidP="0028373A">
      <w:pPr>
        <w:numPr>
          <w:ilvl w:val="0"/>
          <w:numId w:val="2"/>
        </w:numPr>
        <w:spacing w:after="0"/>
        <w:rPr>
          <w:bCs/>
        </w:rPr>
      </w:pPr>
      <w:r w:rsidRPr="0028373A">
        <w:rPr>
          <w:bCs/>
        </w:rPr>
        <w:t>CPA designation, MBA, or equivalent strongly preferred.</w:t>
      </w:r>
    </w:p>
    <w:p w:rsidR="0028373A" w:rsidRPr="00962802" w:rsidRDefault="006B63B5" w:rsidP="00CA0C06">
      <w:pPr>
        <w:numPr>
          <w:ilvl w:val="0"/>
          <w:numId w:val="2"/>
        </w:numPr>
        <w:spacing w:after="0"/>
        <w:rPr>
          <w:bCs/>
          <w:i/>
        </w:rPr>
      </w:pPr>
      <w:r>
        <w:rPr>
          <w:bCs/>
        </w:rPr>
        <w:t>5</w:t>
      </w:r>
      <w:r w:rsidR="00D248F8" w:rsidRPr="0028373A">
        <w:rPr>
          <w:bCs/>
        </w:rPr>
        <w:t xml:space="preserve">+ years of progressive experience </w:t>
      </w:r>
      <w:r w:rsidR="00962802">
        <w:rPr>
          <w:bCs/>
        </w:rPr>
        <w:t xml:space="preserve">as an </w:t>
      </w:r>
      <w:r w:rsidR="00962802" w:rsidRPr="00962802">
        <w:rPr>
          <w:bCs/>
        </w:rPr>
        <w:t>SAP SME or Functional Consultant</w:t>
      </w:r>
      <w:r w:rsidR="00962802">
        <w:rPr>
          <w:bCs/>
        </w:rPr>
        <w:t xml:space="preserve"> </w:t>
      </w:r>
      <w:r w:rsidR="00962802" w:rsidRPr="00962802">
        <w:rPr>
          <w:bCs/>
        </w:rPr>
        <w:t>Functional Consultant in Treasury</w:t>
      </w:r>
      <w:r w:rsidR="00CA0C06">
        <w:rPr>
          <w:bCs/>
        </w:rPr>
        <w:t xml:space="preserve"> Module</w:t>
      </w:r>
      <w:r w:rsidR="00962802" w:rsidRPr="00962802">
        <w:rPr>
          <w:bCs/>
        </w:rPr>
        <w:t xml:space="preserve">, </w:t>
      </w:r>
      <w:r w:rsidR="00CA0C06" w:rsidRPr="00CA0C06">
        <w:rPr>
          <w:bCs/>
        </w:rPr>
        <w:t xml:space="preserve">FM/GM, </w:t>
      </w:r>
      <w:r w:rsidR="002F15E6">
        <w:rPr>
          <w:bCs/>
        </w:rPr>
        <w:t>and SAP</w:t>
      </w:r>
      <w:r w:rsidR="00CA0C06">
        <w:rPr>
          <w:bCs/>
        </w:rPr>
        <w:t xml:space="preserve"> Ariba </w:t>
      </w:r>
      <w:r w:rsidR="00962802" w:rsidRPr="00962802">
        <w:rPr>
          <w:bCs/>
        </w:rPr>
        <w:t>with integration experience in</w:t>
      </w:r>
      <w:r w:rsidR="00CA0C06">
        <w:rPr>
          <w:bCs/>
        </w:rPr>
        <w:t xml:space="preserve"> other finance modules.</w:t>
      </w:r>
      <w:r w:rsidR="00962802" w:rsidRPr="00962802">
        <w:rPr>
          <w:bCs/>
        </w:rPr>
        <w:t xml:space="preserve"> </w:t>
      </w:r>
      <w:r w:rsidR="00962802" w:rsidRPr="00962802">
        <w:rPr>
          <w:bCs/>
          <w:i/>
        </w:rPr>
        <w:t xml:space="preserve">Experience in public sector accounting or hospital </w:t>
      </w:r>
      <w:r w:rsidR="00CA0C06">
        <w:rPr>
          <w:bCs/>
          <w:i/>
        </w:rPr>
        <w:t>multi-funding reporting</w:t>
      </w:r>
      <w:r w:rsidR="00962802" w:rsidRPr="00962802">
        <w:rPr>
          <w:bCs/>
          <w:i/>
        </w:rPr>
        <w:t xml:space="preserve"> strongly preferred.</w:t>
      </w:r>
    </w:p>
    <w:p w:rsidR="0028373A" w:rsidRPr="0028373A" w:rsidRDefault="00D248F8" w:rsidP="0028373A">
      <w:pPr>
        <w:numPr>
          <w:ilvl w:val="0"/>
          <w:numId w:val="2"/>
        </w:numPr>
        <w:spacing w:after="0"/>
      </w:pPr>
      <w:r w:rsidRPr="0028373A">
        <w:t xml:space="preserve">Experience supporting </w:t>
      </w:r>
      <w:r w:rsidRPr="003D031A">
        <w:rPr>
          <w:bCs/>
        </w:rPr>
        <w:t>ERP implementations</w:t>
      </w:r>
      <w:r w:rsidR="00B07DC0">
        <w:t xml:space="preserve"> or upgrades with p</w:t>
      </w:r>
      <w:r w:rsidRPr="0028373A">
        <w:t>rior involvement in SAP ECC and</w:t>
      </w:r>
      <w:r w:rsidR="0028373A" w:rsidRPr="0028373A">
        <w:t>/or SAP S/4HANA implementation highly desirable</w:t>
      </w:r>
      <w:r w:rsidR="006B63B5">
        <w:t>.</w:t>
      </w:r>
    </w:p>
    <w:p w:rsidR="0028373A" w:rsidRPr="0028373A" w:rsidRDefault="00D248F8" w:rsidP="0028373A">
      <w:pPr>
        <w:numPr>
          <w:ilvl w:val="0"/>
          <w:numId w:val="2"/>
        </w:numPr>
        <w:spacing w:after="0"/>
      </w:pPr>
      <w:r w:rsidRPr="0028373A">
        <w:t xml:space="preserve">Knowledge of </w:t>
      </w:r>
      <w:r w:rsidRPr="0028373A">
        <w:rPr>
          <w:bCs/>
        </w:rPr>
        <w:t>Ontario Ministry of Health capital funding frameworks</w:t>
      </w:r>
      <w:r w:rsidRPr="0028373A">
        <w:t xml:space="preserve"> and </w:t>
      </w:r>
      <w:r w:rsidRPr="0028373A">
        <w:rPr>
          <w:bCs/>
        </w:rPr>
        <w:t>restricted fund reporting</w:t>
      </w:r>
      <w:r w:rsidRPr="0028373A">
        <w:t>.</w:t>
      </w:r>
    </w:p>
    <w:p w:rsidR="00C1183A" w:rsidRPr="00130AD2" w:rsidRDefault="0028373A" w:rsidP="00130AD2">
      <w:pPr>
        <w:spacing w:after="0"/>
        <w:rPr>
          <w:b/>
          <w:bCs/>
        </w:rPr>
      </w:pPr>
      <w:r w:rsidRPr="0028373A">
        <w:rPr>
          <w:b/>
          <w:bCs/>
        </w:rPr>
        <w:lastRenderedPageBreak/>
        <w:t>Key Competencies:</w:t>
      </w:r>
    </w:p>
    <w:p w:rsidR="00C1183A" w:rsidRDefault="00C1183A" w:rsidP="00C1183A">
      <w:pPr>
        <w:numPr>
          <w:ilvl w:val="0"/>
          <w:numId w:val="3"/>
        </w:numPr>
        <w:spacing w:after="0"/>
      </w:pPr>
      <w:r w:rsidRPr="00C1183A">
        <w:rPr>
          <w:bCs/>
        </w:rPr>
        <w:t xml:space="preserve">Demonstrated ability to excel and adapt in fast-paced, deadline-driven </w:t>
      </w:r>
      <w:r w:rsidR="00A81FE5">
        <w:rPr>
          <w:bCs/>
        </w:rPr>
        <w:t xml:space="preserve">project </w:t>
      </w:r>
      <w:r w:rsidRPr="00C1183A">
        <w:rPr>
          <w:bCs/>
        </w:rPr>
        <w:t>environments</w:t>
      </w:r>
      <w:r w:rsidRPr="00C1183A">
        <w:t>, while maintaini</w:t>
      </w:r>
      <w:r w:rsidR="00BE40BB">
        <w:t xml:space="preserve">ng a high level of accuracy, </w:t>
      </w:r>
      <w:r w:rsidRPr="00C1183A">
        <w:t>efficiency</w:t>
      </w:r>
      <w:r w:rsidR="00BE40BB">
        <w:t xml:space="preserve"> &amp; professionalism</w:t>
      </w:r>
      <w:r w:rsidRPr="00C1183A">
        <w:t>.</w:t>
      </w:r>
    </w:p>
    <w:p w:rsidR="00C1183A" w:rsidRPr="00C1183A" w:rsidRDefault="00C1183A" w:rsidP="00C1183A">
      <w:pPr>
        <w:numPr>
          <w:ilvl w:val="0"/>
          <w:numId w:val="3"/>
        </w:numPr>
        <w:spacing w:after="0"/>
      </w:pPr>
      <w:r w:rsidRPr="00C1183A">
        <w:rPr>
          <w:bCs/>
        </w:rPr>
        <w:t>Self-motivated, self-starter with proven ability to work independently with minimal supervision</w:t>
      </w:r>
      <w:r w:rsidRPr="00C1183A">
        <w:t>, while also thriving in collaborative, project and team-oriented environments.</w:t>
      </w:r>
    </w:p>
    <w:p w:rsidR="00130AD2" w:rsidRDefault="003D031A" w:rsidP="00130AD2">
      <w:pPr>
        <w:pStyle w:val="ListParagraph"/>
        <w:numPr>
          <w:ilvl w:val="0"/>
          <w:numId w:val="3"/>
        </w:numPr>
      </w:pPr>
      <w:r>
        <w:t xml:space="preserve">Proactive, critical thinker with outstanding </w:t>
      </w:r>
      <w:r w:rsidRPr="0028373A">
        <w:t>problem solving</w:t>
      </w:r>
      <w:r w:rsidR="0028373A" w:rsidRPr="0028373A">
        <w:t xml:space="preserve"> </w:t>
      </w:r>
      <w:r>
        <w:t xml:space="preserve">&amp; issue resolution </w:t>
      </w:r>
      <w:r w:rsidR="0028373A" w:rsidRPr="0028373A">
        <w:t xml:space="preserve">skills with a focus </w:t>
      </w:r>
      <w:r w:rsidR="0028373A" w:rsidRPr="003D031A">
        <w:t xml:space="preserve">on </w:t>
      </w:r>
      <w:r w:rsidR="0028373A" w:rsidRPr="00C1183A">
        <w:rPr>
          <w:bCs/>
        </w:rPr>
        <w:t>internal controls</w:t>
      </w:r>
      <w:r w:rsidR="0028373A" w:rsidRPr="003D031A">
        <w:t xml:space="preserve">, </w:t>
      </w:r>
      <w:r w:rsidR="0028373A" w:rsidRPr="00C1183A">
        <w:rPr>
          <w:bCs/>
        </w:rPr>
        <w:t>audit readiness</w:t>
      </w:r>
      <w:r w:rsidR="0028373A" w:rsidRPr="003D031A">
        <w:t xml:space="preserve">, and </w:t>
      </w:r>
      <w:r w:rsidR="0028373A" w:rsidRPr="00C1183A">
        <w:rPr>
          <w:bCs/>
        </w:rPr>
        <w:t>accounting transparency</w:t>
      </w:r>
      <w:r w:rsidR="00C1183A">
        <w:t xml:space="preserve"> with</w:t>
      </w:r>
      <w:r w:rsidR="00C1183A" w:rsidRPr="00C1183A">
        <w:t xml:space="preserve"> a strong ability to receive and apply feedback constructively.</w:t>
      </w:r>
    </w:p>
    <w:p w:rsidR="00130AD2" w:rsidRDefault="0028373A" w:rsidP="00130AD2">
      <w:pPr>
        <w:pStyle w:val="ListParagraph"/>
        <w:numPr>
          <w:ilvl w:val="0"/>
          <w:numId w:val="3"/>
        </w:numPr>
      </w:pPr>
      <w:r w:rsidRPr="0028373A">
        <w:t xml:space="preserve">Collaborative mindset with excellent communication </w:t>
      </w:r>
      <w:r w:rsidR="003D031A">
        <w:t xml:space="preserve">&amp; presentation </w:t>
      </w:r>
      <w:r w:rsidRPr="0028373A">
        <w:t>skills</w:t>
      </w:r>
      <w:r w:rsidR="003D031A">
        <w:t xml:space="preserve"> with ability </w:t>
      </w:r>
      <w:r w:rsidRPr="0028373A">
        <w:t>to liaise with stakeholders at all levels.</w:t>
      </w:r>
    </w:p>
    <w:p w:rsidR="00130AD2" w:rsidRDefault="00D248F8" w:rsidP="00130AD2">
      <w:pPr>
        <w:pStyle w:val="ListParagraph"/>
        <w:numPr>
          <w:ilvl w:val="0"/>
          <w:numId w:val="3"/>
        </w:numPr>
      </w:pPr>
      <w:r w:rsidRPr="0028373A">
        <w:t>Proficiency i</w:t>
      </w:r>
      <w:r w:rsidR="007D3C40">
        <w:t xml:space="preserve">n </w:t>
      </w:r>
      <w:r w:rsidR="003D031A">
        <w:t xml:space="preserve">MS </w:t>
      </w:r>
      <w:r w:rsidR="007D3C40">
        <w:t>Excel</w:t>
      </w:r>
      <w:r w:rsidR="003D031A">
        <w:t>, Word, PowerPoint, SharePoint, Project Management software such as Jira, Project Place.</w:t>
      </w:r>
    </w:p>
    <w:p w:rsidR="0028373A" w:rsidRDefault="007D3C40" w:rsidP="00130AD2">
      <w:pPr>
        <w:pStyle w:val="ListParagraph"/>
        <w:numPr>
          <w:ilvl w:val="0"/>
          <w:numId w:val="3"/>
        </w:numPr>
      </w:pPr>
      <w:r>
        <w:t>F</w:t>
      </w:r>
      <w:r w:rsidR="00D248F8" w:rsidRPr="0028373A">
        <w:t>amiliarity with SAP Fiori and IBM Planning Analytics (TM1) is an asset</w:t>
      </w:r>
      <w:r>
        <w:t>.</w:t>
      </w:r>
    </w:p>
    <w:p w:rsidR="009A3D7B" w:rsidRDefault="009A3D7B" w:rsidP="0028373A">
      <w:pPr>
        <w:spacing w:after="0"/>
        <w:rPr>
          <w:b/>
          <w:bCs/>
        </w:rPr>
      </w:pPr>
    </w:p>
    <w:p w:rsidR="00DB0007" w:rsidRDefault="00DB0007" w:rsidP="00DB0007">
      <w:pPr>
        <w:spacing w:after="0"/>
      </w:pPr>
    </w:p>
    <w:p w:rsidR="0028373A" w:rsidRPr="0028373A" w:rsidRDefault="0028373A" w:rsidP="0028373A">
      <w:pPr>
        <w:spacing w:after="0"/>
      </w:pPr>
    </w:p>
    <w:p w:rsidR="008F0B04" w:rsidRDefault="0091148B" w:rsidP="0028373A">
      <w:pPr>
        <w:spacing w:after="0"/>
      </w:pPr>
    </w:p>
    <w:sectPr w:rsidR="008F0B04" w:rsidSect="00283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B73"/>
    <w:multiLevelType w:val="multilevel"/>
    <w:tmpl w:val="965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60AC5"/>
    <w:multiLevelType w:val="multilevel"/>
    <w:tmpl w:val="993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713EF"/>
    <w:multiLevelType w:val="hybridMultilevel"/>
    <w:tmpl w:val="D168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77D3"/>
    <w:multiLevelType w:val="multilevel"/>
    <w:tmpl w:val="5654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C1608"/>
    <w:multiLevelType w:val="multilevel"/>
    <w:tmpl w:val="DD8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05BFE"/>
    <w:multiLevelType w:val="multilevel"/>
    <w:tmpl w:val="F81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3A"/>
    <w:rsid w:val="00004B28"/>
    <w:rsid w:val="000735BE"/>
    <w:rsid w:val="000A7C03"/>
    <w:rsid w:val="000E7285"/>
    <w:rsid w:val="000F256B"/>
    <w:rsid w:val="00112B1F"/>
    <w:rsid w:val="00113B0B"/>
    <w:rsid w:val="00130AD2"/>
    <w:rsid w:val="00186DFF"/>
    <w:rsid w:val="0028373A"/>
    <w:rsid w:val="002F0DC0"/>
    <w:rsid w:val="002F15E6"/>
    <w:rsid w:val="00302D55"/>
    <w:rsid w:val="00313F0C"/>
    <w:rsid w:val="00321D6E"/>
    <w:rsid w:val="003536C3"/>
    <w:rsid w:val="00373865"/>
    <w:rsid w:val="003D031A"/>
    <w:rsid w:val="00413F21"/>
    <w:rsid w:val="00466DAA"/>
    <w:rsid w:val="00496126"/>
    <w:rsid w:val="004C359B"/>
    <w:rsid w:val="004E5A61"/>
    <w:rsid w:val="00524BA7"/>
    <w:rsid w:val="00564636"/>
    <w:rsid w:val="00611230"/>
    <w:rsid w:val="00616693"/>
    <w:rsid w:val="006B63B5"/>
    <w:rsid w:val="006D75C4"/>
    <w:rsid w:val="00744461"/>
    <w:rsid w:val="00756552"/>
    <w:rsid w:val="007D3C40"/>
    <w:rsid w:val="007D3E6D"/>
    <w:rsid w:val="00837D57"/>
    <w:rsid w:val="00852266"/>
    <w:rsid w:val="00861C7A"/>
    <w:rsid w:val="008A001A"/>
    <w:rsid w:val="0091148B"/>
    <w:rsid w:val="00923477"/>
    <w:rsid w:val="00962802"/>
    <w:rsid w:val="00992671"/>
    <w:rsid w:val="009A3D7B"/>
    <w:rsid w:val="009F69DB"/>
    <w:rsid w:val="009F6E8C"/>
    <w:rsid w:val="00A81FE5"/>
    <w:rsid w:val="00AD40F0"/>
    <w:rsid w:val="00B07DC0"/>
    <w:rsid w:val="00BA4915"/>
    <w:rsid w:val="00BE40BB"/>
    <w:rsid w:val="00C1183A"/>
    <w:rsid w:val="00C444B2"/>
    <w:rsid w:val="00CA0C06"/>
    <w:rsid w:val="00D248F8"/>
    <w:rsid w:val="00D57DFB"/>
    <w:rsid w:val="00D73C71"/>
    <w:rsid w:val="00D77494"/>
    <w:rsid w:val="00DB0007"/>
    <w:rsid w:val="00DE7FDA"/>
    <w:rsid w:val="00E35E29"/>
    <w:rsid w:val="00F02E65"/>
    <w:rsid w:val="00F704D6"/>
    <w:rsid w:val="00FA0F80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3480"/>
  <w15:chartTrackingRefBased/>
  <w15:docId w15:val="{5F11BB7B-DF57-4044-B7F9-CFEDC0C9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Findlay, Alexa</dc:creator>
  <cp:keywords/>
  <dc:description/>
  <cp:lastModifiedBy> </cp:lastModifiedBy>
  <cp:revision>2</cp:revision>
  <dcterms:created xsi:type="dcterms:W3CDTF">2025-06-09T21:15:00Z</dcterms:created>
  <dcterms:modified xsi:type="dcterms:W3CDTF">2025-06-09T21:15:00Z</dcterms:modified>
</cp:coreProperties>
</file>