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398" w:type="dxa"/>
        <w:tblInd w:w="-972" w:type="dxa"/>
        <w:tblLook w:val="04A0" w:firstRow="1" w:lastRow="0" w:firstColumn="1" w:lastColumn="0" w:noHBand="0" w:noVBand="1"/>
      </w:tblPr>
      <w:tblGrid>
        <w:gridCol w:w="7398"/>
      </w:tblGrid>
      <w:tr w:rsidR="00E3114E" w14:paraId="141FB7CF" w14:textId="77777777" w:rsidTr="00C912E3">
        <w:trPr>
          <w:trHeight w:val="7728"/>
        </w:trPr>
        <w:tc>
          <w:tcPr>
            <w:tcW w:w="7398" w:type="dxa"/>
          </w:tcPr>
          <w:p w14:paraId="527072FA" w14:textId="77777777" w:rsidR="00E3114E" w:rsidRDefault="00E3114E" w:rsidP="00E3114E">
            <w:pPr>
              <w:jc w:val="center"/>
            </w:pPr>
            <w:r w:rsidRPr="00FC606D">
              <w:rPr>
                <w:sz w:val="12"/>
                <w:szCs w:val="12"/>
              </w:rPr>
              <w:br/>
            </w:r>
            <w:r>
              <w:rPr>
                <w:noProof/>
                <w:lang w:val="en-US"/>
              </w:rPr>
              <w:drawing>
                <wp:inline distT="0" distB="0" distL="0" distR="0" wp14:anchorId="381DBCBA" wp14:editId="67DDF945">
                  <wp:extent cx="1712870" cy="548813"/>
                  <wp:effectExtent l="0" t="0" r="190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018" cy="551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F7CA78" w14:textId="6E32DD9A" w:rsidR="00E3114E" w:rsidRDefault="00D41DA7" w:rsidP="00C912E3">
            <w:pPr>
              <w:jc w:val="center"/>
              <w:rPr>
                <w:rFonts w:ascii="Verdana" w:hAnsi="Verdana"/>
                <w:b/>
                <w:w w:val="92"/>
                <w:sz w:val="24"/>
                <w:szCs w:val="24"/>
              </w:rPr>
            </w:pPr>
            <w:r>
              <w:rPr>
                <w:rFonts w:ascii="Verdana" w:hAnsi="Verdana"/>
                <w:b/>
                <w:w w:val="92"/>
                <w:sz w:val="24"/>
                <w:szCs w:val="24"/>
              </w:rPr>
              <w:t>Advanced Practice</w:t>
            </w:r>
            <w:r w:rsidR="006A53E2">
              <w:rPr>
                <w:rFonts w:ascii="Verdana" w:hAnsi="Verdana"/>
                <w:b/>
                <w:w w:val="92"/>
                <w:sz w:val="24"/>
                <w:szCs w:val="24"/>
              </w:rPr>
              <w:t xml:space="preserve"> Radiation Therapist</w:t>
            </w:r>
            <w:r w:rsidR="0076446F">
              <w:rPr>
                <w:rFonts w:ascii="Verdana" w:hAnsi="Verdana"/>
                <w:b/>
                <w:w w:val="92"/>
                <w:sz w:val="24"/>
                <w:szCs w:val="24"/>
              </w:rPr>
              <w:t xml:space="preserve">, </w:t>
            </w:r>
            <w:r w:rsidR="002B1FE6">
              <w:rPr>
                <w:rFonts w:ascii="Verdana" w:hAnsi="Verdana"/>
                <w:b/>
                <w:w w:val="92"/>
                <w:sz w:val="24"/>
                <w:szCs w:val="24"/>
              </w:rPr>
              <w:t>Adaptive Radiation Therapy</w:t>
            </w:r>
          </w:p>
          <w:p w14:paraId="431F3BC7" w14:textId="5D85F7B3" w:rsidR="000037BE" w:rsidRPr="00941126" w:rsidRDefault="000037BE" w:rsidP="00C912E3">
            <w:pPr>
              <w:jc w:val="center"/>
              <w:rPr>
                <w:rFonts w:ascii="Verdana" w:hAnsi="Verdana"/>
                <w:b/>
                <w:w w:val="92"/>
                <w:sz w:val="24"/>
                <w:szCs w:val="24"/>
              </w:rPr>
            </w:pPr>
            <w:r>
              <w:rPr>
                <w:rFonts w:ascii="Verdana" w:hAnsi="Verdana"/>
                <w:b/>
                <w:w w:val="92"/>
                <w:sz w:val="24"/>
                <w:szCs w:val="24"/>
              </w:rPr>
              <w:t xml:space="preserve"> </w:t>
            </w:r>
          </w:p>
          <w:p w14:paraId="2045277F" w14:textId="77777777" w:rsidR="00E3114E" w:rsidRPr="006F5110" w:rsidRDefault="00E3114E" w:rsidP="00E3114E">
            <w:pPr>
              <w:pStyle w:val="Posting"/>
              <w:tabs>
                <w:tab w:val="left" w:pos="4300"/>
              </w:tabs>
              <w:rPr>
                <w:rFonts w:ascii="Verdana" w:hAnsi="Verdana"/>
                <w:b/>
                <w:w w:val="92"/>
                <w:sz w:val="6"/>
                <w:szCs w:val="6"/>
              </w:rPr>
            </w:pPr>
          </w:p>
          <w:tbl>
            <w:tblPr>
              <w:tblW w:w="7182" w:type="dxa"/>
              <w:shd w:val="clear" w:color="auto" w:fill="000000"/>
              <w:tblLook w:val="04A0" w:firstRow="1" w:lastRow="0" w:firstColumn="1" w:lastColumn="0" w:noHBand="0" w:noVBand="1"/>
            </w:tblPr>
            <w:tblGrid>
              <w:gridCol w:w="1443"/>
              <w:gridCol w:w="2588"/>
              <w:gridCol w:w="1197"/>
              <w:gridCol w:w="1954"/>
            </w:tblGrid>
            <w:tr w:rsidR="00813322" w:rsidRPr="00C912E3" w14:paraId="3A482B0B" w14:textId="77777777" w:rsidTr="00C912E3">
              <w:trPr>
                <w:trHeight w:val="198"/>
              </w:trPr>
              <w:tc>
                <w:tcPr>
                  <w:tcW w:w="1005" w:type="pct"/>
                </w:tcPr>
                <w:p w14:paraId="180903B0" w14:textId="77777777" w:rsidR="00813322" w:rsidRPr="00C912E3" w:rsidRDefault="00813322" w:rsidP="00E3114E">
                  <w:pPr>
                    <w:spacing w:before="40" w:after="20"/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</w:pPr>
                  <w:r w:rsidRPr="00C912E3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 xml:space="preserve">Competition # </w:t>
                  </w:r>
                </w:p>
              </w:tc>
              <w:tc>
                <w:tcPr>
                  <w:tcW w:w="1802" w:type="pct"/>
                </w:tcPr>
                <w:p w14:paraId="2CDF3488" w14:textId="1A618768" w:rsidR="00FE5097" w:rsidRPr="00C912E3" w:rsidRDefault="00FE5097" w:rsidP="00E25318">
                  <w:pPr>
                    <w:spacing w:before="40" w:after="20"/>
                    <w:rPr>
                      <w:rFonts w:ascii="Verdana" w:hAnsi="Verdana"/>
                      <w:w w:val="92"/>
                      <w:sz w:val="15"/>
                      <w:szCs w:val="15"/>
                    </w:rPr>
                  </w:pPr>
                </w:p>
              </w:tc>
              <w:tc>
                <w:tcPr>
                  <w:tcW w:w="833" w:type="pct"/>
                </w:tcPr>
                <w:p w14:paraId="09EF04B9" w14:textId="77777777" w:rsidR="00813322" w:rsidRPr="00C912E3" w:rsidRDefault="00813322" w:rsidP="00813322">
                  <w:pPr>
                    <w:spacing w:before="40" w:after="20"/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</w:pPr>
                  <w:r w:rsidRPr="00C912E3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 xml:space="preserve">Location: </w:t>
                  </w:r>
                </w:p>
              </w:tc>
              <w:tc>
                <w:tcPr>
                  <w:tcW w:w="1360" w:type="pct"/>
                </w:tcPr>
                <w:p w14:paraId="3194F357" w14:textId="77777777" w:rsidR="00813322" w:rsidRPr="00C912E3" w:rsidRDefault="00813322" w:rsidP="00813322">
                  <w:pPr>
                    <w:spacing w:before="40" w:after="20"/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</w:pPr>
                  <w:r w:rsidRPr="00C912E3">
                    <w:rPr>
                      <w:rFonts w:ascii="Verdana" w:hAnsi="Verdana" w:cs="Tahoma"/>
                      <w:w w:val="92"/>
                      <w:sz w:val="15"/>
                      <w:szCs w:val="15"/>
                    </w:rPr>
                    <w:t>Bayview</w:t>
                  </w:r>
                  <w:r w:rsidR="004D7510" w:rsidRPr="00C912E3">
                    <w:rPr>
                      <w:rFonts w:ascii="Verdana" w:hAnsi="Verdana" w:cs="Tahoma"/>
                      <w:w w:val="92"/>
                      <w:sz w:val="15"/>
                      <w:szCs w:val="15"/>
                    </w:rPr>
                    <w:t xml:space="preserve"> campus</w:t>
                  </w:r>
                </w:p>
              </w:tc>
            </w:tr>
            <w:tr w:rsidR="00813322" w:rsidRPr="00C912E3" w14:paraId="4E4B79AF" w14:textId="77777777" w:rsidTr="00C912E3">
              <w:trPr>
                <w:trHeight w:val="178"/>
              </w:trPr>
              <w:tc>
                <w:tcPr>
                  <w:tcW w:w="1005" w:type="pct"/>
                </w:tcPr>
                <w:p w14:paraId="7DA8280C" w14:textId="77777777" w:rsidR="00813322" w:rsidRPr="00C912E3" w:rsidRDefault="00813322" w:rsidP="00DE128D">
                  <w:pPr>
                    <w:spacing w:before="40" w:after="20"/>
                    <w:rPr>
                      <w:rFonts w:ascii="Verdana" w:hAnsi="Verdana" w:cs="Tahoma"/>
                      <w:w w:val="92"/>
                      <w:sz w:val="15"/>
                      <w:szCs w:val="15"/>
                    </w:rPr>
                  </w:pPr>
                  <w:r w:rsidRPr="00C912E3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>Classification:</w:t>
                  </w:r>
                  <w:r w:rsidRPr="00C912E3">
                    <w:rPr>
                      <w:rFonts w:ascii="Verdana" w:hAnsi="Verdana"/>
                      <w:w w:val="92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802" w:type="pct"/>
                </w:tcPr>
                <w:p w14:paraId="37155982" w14:textId="4CC43D0F" w:rsidR="00CC2B4B" w:rsidRPr="00C912E3" w:rsidRDefault="001F2C55" w:rsidP="00B841AE">
                  <w:pPr>
                    <w:spacing w:before="40" w:after="20"/>
                    <w:rPr>
                      <w:rFonts w:ascii="Verdana" w:hAnsi="Verdana" w:cs="Tahoma"/>
                      <w:w w:val="92"/>
                      <w:sz w:val="15"/>
                      <w:szCs w:val="15"/>
                    </w:rPr>
                  </w:pPr>
                  <w:r w:rsidRPr="00C912E3">
                    <w:rPr>
                      <w:rFonts w:ascii="Verdana" w:hAnsi="Verdana" w:cs="Tahoma"/>
                      <w:w w:val="92"/>
                      <w:sz w:val="15"/>
                      <w:szCs w:val="15"/>
                    </w:rPr>
                    <w:t>Regular Full-Time</w:t>
                  </w:r>
                </w:p>
              </w:tc>
              <w:tc>
                <w:tcPr>
                  <w:tcW w:w="833" w:type="pct"/>
                </w:tcPr>
                <w:p w14:paraId="4917A186" w14:textId="77777777" w:rsidR="00813322" w:rsidRPr="00C912E3" w:rsidRDefault="00813322" w:rsidP="00813322">
                  <w:pPr>
                    <w:spacing w:before="40" w:after="20"/>
                    <w:rPr>
                      <w:rFonts w:ascii="Verdana" w:hAnsi="Verdana" w:cs="Tahoma"/>
                      <w:w w:val="92"/>
                      <w:sz w:val="15"/>
                      <w:szCs w:val="15"/>
                    </w:rPr>
                  </w:pPr>
                  <w:r w:rsidRPr="00C912E3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>Department:</w:t>
                  </w:r>
                </w:p>
              </w:tc>
              <w:tc>
                <w:tcPr>
                  <w:tcW w:w="1360" w:type="pct"/>
                </w:tcPr>
                <w:p w14:paraId="2A9C6E98" w14:textId="77777777" w:rsidR="00813322" w:rsidRPr="00C912E3" w:rsidRDefault="00FE5097" w:rsidP="00DE128D">
                  <w:pPr>
                    <w:spacing w:before="40" w:after="20"/>
                    <w:rPr>
                      <w:rFonts w:ascii="Verdana" w:hAnsi="Verdana" w:cs="Tahoma"/>
                      <w:w w:val="92"/>
                      <w:sz w:val="15"/>
                      <w:szCs w:val="15"/>
                    </w:rPr>
                  </w:pPr>
                  <w:r w:rsidRPr="00C912E3">
                    <w:rPr>
                      <w:rFonts w:ascii="Verdana" w:hAnsi="Verdana" w:cs="Tahoma"/>
                      <w:w w:val="92"/>
                      <w:sz w:val="15"/>
                      <w:szCs w:val="15"/>
                    </w:rPr>
                    <w:t>Radiation Therapy</w:t>
                  </w:r>
                </w:p>
              </w:tc>
            </w:tr>
            <w:tr w:rsidR="00813322" w:rsidRPr="00C912E3" w14:paraId="7AE15E90" w14:textId="77777777" w:rsidTr="00C912E3">
              <w:trPr>
                <w:trHeight w:val="198"/>
              </w:trPr>
              <w:tc>
                <w:tcPr>
                  <w:tcW w:w="1005" w:type="pct"/>
                </w:tcPr>
                <w:p w14:paraId="40881ED1" w14:textId="77777777" w:rsidR="00813322" w:rsidRPr="00C912E3" w:rsidRDefault="00813322" w:rsidP="00E3114E">
                  <w:pPr>
                    <w:spacing w:before="40" w:after="20"/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</w:pPr>
                  <w:r w:rsidRPr="00C912E3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 xml:space="preserve">Salary: </w:t>
                  </w:r>
                </w:p>
              </w:tc>
              <w:tc>
                <w:tcPr>
                  <w:tcW w:w="1802" w:type="pct"/>
                </w:tcPr>
                <w:p w14:paraId="41131583" w14:textId="2A94621F" w:rsidR="00813322" w:rsidRPr="00C912E3" w:rsidRDefault="00813322" w:rsidP="0066381F">
                  <w:pPr>
                    <w:spacing w:before="40" w:after="20"/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</w:pPr>
                </w:p>
              </w:tc>
              <w:tc>
                <w:tcPr>
                  <w:tcW w:w="833" w:type="pct"/>
                </w:tcPr>
                <w:p w14:paraId="142D1769" w14:textId="77777777" w:rsidR="00813322" w:rsidRPr="00C912E3" w:rsidRDefault="00813322" w:rsidP="00813322">
                  <w:pPr>
                    <w:spacing w:before="40" w:after="20"/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</w:pPr>
                  <w:r w:rsidRPr="00C912E3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 xml:space="preserve">Union: </w:t>
                  </w:r>
                </w:p>
              </w:tc>
              <w:tc>
                <w:tcPr>
                  <w:tcW w:w="1360" w:type="pct"/>
                </w:tcPr>
                <w:p w14:paraId="20E7E24D" w14:textId="77777777" w:rsidR="00813322" w:rsidRPr="00C912E3" w:rsidRDefault="00374043" w:rsidP="00E3114E">
                  <w:pPr>
                    <w:spacing w:before="40" w:after="20"/>
                    <w:rPr>
                      <w:rFonts w:ascii="Verdana" w:hAnsi="Verdana"/>
                      <w:w w:val="92"/>
                      <w:sz w:val="15"/>
                      <w:szCs w:val="15"/>
                    </w:rPr>
                  </w:pPr>
                  <w:r w:rsidRPr="00C912E3">
                    <w:rPr>
                      <w:rFonts w:ascii="Verdana" w:hAnsi="Verdana"/>
                      <w:w w:val="92"/>
                      <w:sz w:val="15"/>
                      <w:szCs w:val="15"/>
                    </w:rPr>
                    <w:t>Non-Union</w:t>
                  </w:r>
                </w:p>
              </w:tc>
            </w:tr>
            <w:tr w:rsidR="004571AA" w:rsidRPr="00C912E3" w14:paraId="7A036BFA" w14:textId="77777777" w:rsidTr="00C912E3">
              <w:trPr>
                <w:trHeight w:val="178"/>
              </w:trPr>
              <w:tc>
                <w:tcPr>
                  <w:tcW w:w="1005" w:type="pct"/>
                </w:tcPr>
                <w:p w14:paraId="32F5BC2A" w14:textId="77777777" w:rsidR="004571AA" w:rsidRPr="00C912E3" w:rsidRDefault="004571AA" w:rsidP="00337073">
                  <w:pPr>
                    <w:spacing w:before="40" w:after="20"/>
                    <w:rPr>
                      <w:rFonts w:ascii="Verdana" w:hAnsi="Verdana"/>
                      <w:w w:val="92"/>
                      <w:sz w:val="15"/>
                      <w:szCs w:val="15"/>
                    </w:rPr>
                  </w:pPr>
                  <w:r w:rsidRPr="00C912E3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 xml:space="preserve">Hours of Work: </w:t>
                  </w:r>
                </w:p>
              </w:tc>
              <w:tc>
                <w:tcPr>
                  <w:tcW w:w="3995" w:type="pct"/>
                  <w:gridSpan w:val="3"/>
                </w:tcPr>
                <w:p w14:paraId="184068DC" w14:textId="77777777" w:rsidR="004571AA" w:rsidRPr="00C912E3" w:rsidRDefault="000748C1" w:rsidP="00A140E3">
                  <w:pPr>
                    <w:spacing w:before="40" w:after="20"/>
                    <w:rPr>
                      <w:rFonts w:ascii="Verdana" w:hAnsi="Verdana"/>
                      <w:w w:val="92"/>
                      <w:sz w:val="15"/>
                      <w:szCs w:val="15"/>
                    </w:rPr>
                  </w:pPr>
                  <w:r w:rsidRPr="00C912E3">
                    <w:rPr>
                      <w:rFonts w:ascii="Verdana" w:hAnsi="Verdana"/>
                      <w:w w:val="92"/>
                      <w:sz w:val="15"/>
                      <w:szCs w:val="15"/>
                    </w:rPr>
                    <w:t xml:space="preserve">Weekdays, </w:t>
                  </w:r>
                  <w:r w:rsidR="00A140E3" w:rsidRPr="00C912E3">
                    <w:rPr>
                      <w:rFonts w:ascii="Verdana" w:hAnsi="Verdana"/>
                      <w:w w:val="92"/>
                      <w:sz w:val="15"/>
                      <w:szCs w:val="15"/>
                    </w:rPr>
                    <w:t xml:space="preserve">Days, </w:t>
                  </w:r>
                  <w:r w:rsidR="005C7BBA" w:rsidRPr="00C912E3">
                    <w:rPr>
                      <w:rFonts w:ascii="Verdana" w:hAnsi="Verdana"/>
                      <w:w w:val="92"/>
                      <w:sz w:val="15"/>
                      <w:szCs w:val="15"/>
                    </w:rPr>
                    <w:t>8</w:t>
                  </w:r>
                  <w:r w:rsidR="00A22DAA" w:rsidRPr="00C912E3">
                    <w:rPr>
                      <w:rFonts w:ascii="Verdana" w:hAnsi="Verdana"/>
                      <w:w w:val="92"/>
                      <w:sz w:val="15"/>
                      <w:szCs w:val="15"/>
                    </w:rPr>
                    <w:t xml:space="preserve"> </w:t>
                  </w:r>
                  <w:r w:rsidR="00A140E3" w:rsidRPr="00C912E3">
                    <w:rPr>
                      <w:rFonts w:ascii="Verdana" w:hAnsi="Verdana"/>
                      <w:w w:val="92"/>
                      <w:sz w:val="15"/>
                      <w:szCs w:val="15"/>
                    </w:rPr>
                    <w:t>hrs</w:t>
                  </w:r>
                  <w:r w:rsidR="00A22DAA" w:rsidRPr="00C912E3">
                    <w:rPr>
                      <w:rFonts w:ascii="Verdana" w:hAnsi="Verdana"/>
                      <w:w w:val="92"/>
                      <w:sz w:val="15"/>
                      <w:szCs w:val="15"/>
                    </w:rPr>
                    <w:t>; A</w:t>
                  </w:r>
                  <w:r w:rsidR="0089040C" w:rsidRPr="00C912E3">
                    <w:rPr>
                      <w:rFonts w:ascii="Verdana" w:hAnsi="Verdana"/>
                      <w:w w:val="92"/>
                      <w:sz w:val="15"/>
                      <w:szCs w:val="15"/>
                    </w:rPr>
                    <w:t>s per schedule</w:t>
                  </w:r>
                </w:p>
              </w:tc>
            </w:tr>
          </w:tbl>
          <w:p w14:paraId="15608596" w14:textId="77777777" w:rsidR="002433FC" w:rsidRDefault="002433FC" w:rsidP="00C538EC">
            <w:pPr>
              <w:rPr>
                <w:rFonts w:ascii="Verdana Bold" w:hAnsi="Verdana Bold"/>
                <w:bCs/>
                <w:w w:val="92"/>
                <w:sz w:val="14"/>
                <w:szCs w:val="14"/>
              </w:rPr>
            </w:pPr>
          </w:p>
          <w:p w14:paraId="70524E87" w14:textId="0E0BBC6A" w:rsidR="00C538EC" w:rsidRPr="002A7F3A" w:rsidRDefault="00E3114E" w:rsidP="00C538EC">
            <w:pPr>
              <w:rPr>
                <w:rFonts w:ascii="Verdana" w:hAnsi="Verdana" w:cs="Tahoma"/>
                <w:b/>
                <w:bCs/>
                <w:sz w:val="14"/>
                <w:szCs w:val="14"/>
                <w:lang w:val="en-US"/>
              </w:rPr>
            </w:pPr>
            <w:r w:rsidRPr="002A7F3A">
              <w:rPr>
                <w:rFonts w:ascii="Verdana" w:hAnsi="Verdana" w:cs="Tahoma"/>
                <w:b/>
                <w:bCs/>
                <w:sz w:val="14"/>
                <w:szCs w:val="14"/>
                <w:lang w:val="en-US"/>
              </w:rPr>
              <w:t>Summary of Duties</w:t>
            </w:r>
            <w:r w:rsidR="00A33DBB" w:rsidRPr="002A7F3A">
              <w:rPr>
                <w:rFonts w:ascii="Verdana" w:hAnsi="Verdana" w:cs="Tahoma"/>
                <w:b/>
                <w:bCs/>
                <w:sz w:val="14"/>
                <w:szCs w:val="14"/>
                <w:lang w:val="en-US"/>
              </w:rPr>
              <w:t>:</w:t>
            </w:r>
          </w:p>
          <w:p w14:paraId="1E9FF478" w14:textId="77777777" w:rsidR="00A33DBB" w:rsidRPr="00A33DBB" w:rsidRDefault="00A33DBB" w:rsidP="00A33DBB">
            <w:pPr>
              <w:spacing w:before="20"/>
              <w:jc w:val="both"/>
              <w:rPr>
                <w:rFonts w:ascii="Verdana" w:hAnsi="Verdana" w:cs="Tahoma"/>
                <w:sz w:val="14"/>
                <w:szCs w:val="14"/>
                <w:lang w:val="en-US"/>
              </w:rPr>
            </w:pP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>The Clinical Specialist Radiation Therapist (CSRT) functions as a self</w:t>
            </w: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noBreakHyphen/>
              <w:t>regulated, independent practitioner with a primary focus on Adaptive Radiotherapy (ART) across disease sites. This Advanced Practice role is designed for a registered Radiation Therapist (RTT) who has acquired advanced knowledge and skills through a combination of formal education (</w:t>
            </w:r>
            <w:proofErr w:type="gramStart"/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>Master’s</w:t>
            </w:r>
            <w:proofErr w:type="gramEnd"/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 xml:space="preserve"> degree), workplace learning, and professional development. The CSRT will play a key role in the development, implementation, and evaluation of adaptive radiotherapy protocols and will contribute to clinical trials and research initiatives in this rapidly evolving area.</w:t>
            </w:r>
          </w:p>
          <w:p w14:paraId="08A9611A" w14:textId="77777777" w:rsidR="00A33DBB" w:rsidRDefault="00A33DBB" w:rsidP="00311532">
            <w:pPr>
              <w:rPr>
                <w:rFonts w:ascii="Verdana Bold" w:hAnsi="Verdana Bold"/>
                <w:bCs/>
                <w:w w:val="92"/>
                <w:sz w:val="14"/>
                <w:szCs w:val="14"/>
                <w:lang w:val="en-US"/>
              </w:rPr>
            </w:pPr>
          </w:p>
          <w:p w14:paraId="2E698F34" w14:textId="16B738D3" w:rsidR="005A0929" w:rsidRPr="002A7F3A" w:rsidRDefault="002433FC" w:rsidP="00311532">
            <w:pPr>
              <w:rPr>
                <w:rFonts w:ascii="Verdana" w:hAnsi="Verdana" w:cs="Tahoma"/>
                <w:b/>
                <w:bCs/>
                <w:sz w:val="14"/>
                <w:szCs w:val="14"/>
                <w:lang w:val="en-US"/>
              </w:rPr>
            </w:pPr>
            <w:r w:rsidRPr="002A7F3A">
              <w:rPr>
                <w:rFonts w:ascii="Verdana" w:hAnsi="Verdana" w:cs="Tahoma"/>
                <w:b/>
                <w:bCs/>
                <w:sz w:val="14"/>
                <w:szCs w:val="14"/>
                <w:lang w:val="en-US"/>
              </w:rPr>
              <w:t xml:space="preserve">Key </w:t>
            </w:r>
            <w:r w:rsidR="00311532" w:rsidRPr="002A7F3A">
              <w:rPr>
                <w:rFonts w:ascii="Verdana" w:hAnsi="Verdana" w:cs="Tahoma"/>
                <w:b/>
                <w:bCs/>
                <w:sz w:val="14"/>
                <w:szCs w:val="14"/>
                <w:lang w:val="en-US"/>
              </w:rPr>
              <w:t>Responsibilities</w:t>
            </w:r>
            <w:r w:rsidR="00A33DBB" w:rsidRPr="002A7F3A">
              <w:rPr>
                <w:rFonts w:ascii="Verdana" w:hAnsi="Verdana" w:cs="Tahoma"/>
                <w:b/>
                <w:bCs/>
                <w:sz w:val="14"/>
                <w:szCs w:val="14"/>
                <w:lang w:val="en-US"/>
              </w:rPr>
              <w:t>:</w:t>
            </w:r>
          </w:p>
          <w:p w14:paraId="06A9E151" w14:textId="77777777" w:rsidR="00A33DBB" w:rsidRPr="000B473E" w:rsidRDefault="00A33DBB" w:rsidP="00311532">
            <w:pPr>
              <w:rPr>
                <w:rFonts w:ascii="Verdana Bold" w:hAnsi="Verdana Bold"/>
                <w:w w:val="92"/>
                <w:sz w:val="14"/>
              </w:rPr>
            </w:pPr>
          </w:p>
          <w:p w14:paraId="6571B778" w14:textId="77777777" w:rsidR="00A33DBB" w:rsidRPr="00A33DBB" w:rsidRDefault="00A33DBB" w:rsidP="00A33DBB">
            <w:pPr>
              <w:rPr>
                <w:rFonts w:ascii="Verdana" w:hAnsi="Verdana" w:cs="Tahoma"/>
                <w:b/>
                <w:bCs/>
                <w:sz w:val="14"/>
                <w:szCs w:val="14"/>
                <w:lang w:val="en-US"/>
              </w:rPr>
            </w:pPr>
            <w:r w:rsidRPr="00A33DBB">
              <w:rPr>
                <w:rFonts w:ascii="Verdana" w:hAnsi="Verdana" w:cs="Tahoma"/>
                <w:b/>
                <w:bCs/>
                <w:sz w:val="14"/>
                <w:szCs w:val="14"/>
                <w:lang w:val="en-US"/>
              </w:rPr>
              <w:t>Adaptive Radiotherapy Leadership</w:t>
            </w:r>
          </w:p>
          <w:p w14:paraId="569872AD" w14:textId="77777777" w:rsidR="00A33DBB" w:rsidRPr="00A33DBB" w:rsidRDefault="00A33DBB" w:rsidP="00A33DBB">
            <w:pPr>
              <w:numPr>
                <w:ilvl w:val="0"/>
                <w:numId w:val="8"/>
              </w:numPr>
              <w:rPr>
                <w:rFonts w:ascii="Verdana" w:hAnsi="Verdana" w:cs="Tahoma"/>
                <w:sz w:val="14"/>
                <w:szCs w:val="14"/>
                <w:lang w:val="en-US"/>
              </w:rPr>
            </w:pP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>Serve as a radiation therapy expert and liaison for all interprofessional teams involved in Adaptive Radiotherapy.</w:t>
            </w:r>
          </w:p>
          <w:p w14:paraId="31743FE6" w14:textId="77777777" w:rsidR="00A33DBB" w:rsidRPr="00A33DBB" w:rsidRDefault="00A33DBB" w:rsidP="00A33DBB">
            <w:pPr>
              <w:numPr>
                <w:ilvl w:val="0"/>
                <w:numId w:val="8"/>
              </w:numPr>
              <w:rPr>
                <w:rFonts w:ascii="Verdana" w:hAnsi="Verdana" w:cs="Tahoma"/>
                <w:sz w:val="14"/>
                <w:szCs w:val="14"/>
                <w:lang w:val="en-US"/>
              </w:rPr>
            </w:pP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>Lead and support the development, implementation, and evaluation of adaptive radiotherapy protocols, workflows, and clinical pathways.</w:t>
            </w:r>
          </w:p>
          <w:p w14:paraId="53C4275B" w14:textId="778C354E" w:rsidR="00A33DBB" w:rsidRPr="00A33DBB" w:rsidRDefault="00A33DBB" w:rsidP="00A33DBB">
            <w:pPr>
              <w:numPr>
                <w:ilvl w:val="0"/>
                <w:numId w:val="8"/>
              </w:numPr>
              <w:rPr>
                <w:rFonts w:ascii="Verdana" w:hAnsi="Verdana" w:cs="Tahoma"/>
                <w:sz w:val="14"/>
                <w:szCs w:val="14"/>
                <w:lang w:val="en-US"/>
              </w:rPr>
            </w:pP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 xml:space="preserve">Provide technical and </w:t>
            </w:r>
            <w:proofErr w:type="spellStart"/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>dosimetric</w:t>
            </w:r>
            <w:proofErr w:type="spellEnd"/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 xml:space="preserve"> consultation to RTTs regarding image guidance, </w:t>
            </w:r>
            <w:r>
              <w:rPr>
                <w:rFonts w:ascii="Verdana" w:hAnsi="Verdana" w:cs="Tahoma"/>
                <w:sz w:val="14"/>
                <w:szCs w:val="14"/>
                <w:lang w:val="en-US"/>
              </w:rPr>
              <w:t>anatomic segmentation</w:t>
            </w: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>, and adaptive treatment decision</w:t>
            </w: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noBreakHyphen/>
              <w:t>making.</w:t>
            </w:r>
          </w:p>
          <w:p w14:paraId="2726AEDE" w14:textId="77777777" w:rsidR="00A33DBB" w:rsidRPr="00A33DBB" w:rsidRDefault="00A33DBB" w:rsidP="00A33DBB">
            <w:pPr>
              <w:numPr>
                <w:ilvl w:val="0"/>
                <w:numId w:val="8"/>
              </w:numPr>
              <w:rPr>
                <w:rFonts w:ascii="Verdana" w:hAnsi="Verdana" w:cs="Tahoma"/>
                <w:sz w:val="14"/>
                <w:szCs w:val="14"/>
                <w:lang w:val="en-US"/>
              </w:rPr>
            </w:pP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>Collaborate with physics, radiation therapy, and physician partners to optimize ART planning, QA processes, and treatment delivery.</w:t>
            </w:r>
          </w:p>
          <w:p w14:paraId="120F4834" w14:textId="77777777" w:rsidR="00A33DBB" w:rsidRPr="00A33DBB" w:rsidRDefault="00A33DBB" w:rsidP="00A33DBB">
            <w:pPr>
              <w:numPr>
                <w:ilvl w:val="0"/>
                <w:numId w:val="8"/>
              </w:numPr>
              <w:rPr>
                <w:rFonts w:ascii="Verdana" w:hAnsi="Verdana" w:cs="Tahoma"/>
                <w:sz w:val="14"/>
                <w:szCs w:val="14"/>
                <w:lang w:val="en-US"/>
              </w:rPr>
            </w:pP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>Contribute to the design, activation, and conduct of adaptive radiotherapy clinical trials, including protocol development, data collection, and knowledge translation.</w:t>
            </w:r>
          </w:p>
          <w:p w14:paraId="2949AD27" w14:textId="77777777" w:rsidR="00A33DBB" w:rsidRDefault="00A33DBB" w:rsidP="00A33DBB">
            <w:pPr>
              <w:rPr>
                <w:rFonts w:ascii="Verdana" w:hAnsi="Verdana" w:cs="Tahoma"/>
                <w:b/>
                <w:bCs/>
                <w:sz w:val="14"/>
                <w:szCs w:val="14"/>
                <w:lang w:val="en-US"/>
              </w:rPr>
            </w:pPr>
          </w:p>
          <w:p w14:paraId="6F51A64A" w14:textId="0A846A44" w:rsidR="00A33DBB" w:rsidRPr="00A33DBB" w:rsidRDefault="00A33DBB" w:rsidP="00A33DBB">
            <w:pPr>
              <w:rPr>
                <w:rFonts w:ascii="Verdana" w:hAnsi="Verdana" w:cs="Tahoma"/>
                <w:b/>
                <w:bCs/>
                <w:sz w:val="14"/>
                <w:szCs w:val="14"/>
                <w:lang w:val="en-US"/>
              </w:rPr>
            </w:pPr>
            <w:r w:rsidRPr="00A33DBB">
              <w:rPr>
                <w:rFonts w:ascii="Verdana" w:hAnsi="Verdana" w:cs="Tahoma"/>
                <w:b/>
                <w:bCs/>
                <w:sz w:val="14"/>
                <w:szCs w:val="14"/>
                <w:lang w:val="en-US"/>
              </w:rPr>
              <w:t>Education, Quality, and Research</w:t>
            </w:r>
          </w:p>
          <w:p w14:paraId="2A6555F4" w14:textId="77777777" w:rsidR="00A33DBB" w:rsidRPr="00A33DBB" w:rsidRDefault="00A33DBB" w:rsidP="00A33DBB">
            <w:pPr>
              <w:numPr>
                <w:ilvl w:val="0"/>
                <w:numId w:val="9"/>
              </w:numPr>
              <w:rPr>
                <w:rFonts w:ascii="Verdana" w:hAnsi="Verdana" w:cs="Tahoma"/>
                <w:sz w:val="14"/>
                <w:szCs w:val="14"/>
                <w:lang w:val="en-US"/>
              </w:rPr>
            </w:pP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>Lead and participate in research and quality improvement initiatives related to adaptive radiotherapy and emerging technologies.</w:t>
            </w:r>
          </w:p>
          <w:p w14:paraId="0C9F28DE" w14:textId="77777777" w:rsidR="00A33DBB" w:rsidRPr="00A33DBB" w:rsidRDefault="00A33DBB" w:rsidP="00A33DBB">
            <w:pPr>
              <w:numPr>
                <w:ilvl w:val="0"/>
                <w:numId w:val="9"/>
              </w:numPr>
              <w:rPr>
                <w:rFonts w:ascii="Verdana" w:hAnsi="Verdana" w:cs="Tahoma"/>
                <w:sz w:val="14"/>
                <w:szCs w:val="14"/>
                <w:lang w:val="en-US"/>
              </w:rPr>
            </w:pP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>Provide leadership, education, and support to RTTs in planning and treatment delivery for new ART protocols, techniques, and equipment.</w:t>
            </w:r>
          </w:p>
          <w:p w14:paraId="50EF7B1A" w14:textId="77777777" w:rsidR="00A33DBB" w:rsidRPr="00A33DBB" w:rsidRDefault="00A33DBB" w:rsidP="00A33DBB">
            <w:pPr>
              <w:numPr>
                <w:ilvl w:val="0"/>
                <w:numId w:val="9"/>
              </w:numPr>
              <w:rPr>
                <w:rFonts w:ascii="Verdana" w:hAnsi="Verdana" w:cs="Tahoma"/>
                <w:sz w:val="14"/>
                <w:szCs w:val="14"/>
                <w:lang w:val="en-US"/>
              </w:rPr>
            </w:pP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>Identify opportunities for supplemental staff training and collaborate with the education team to develop and implement targeted learning opportunities.</w:t>
            </w:r>
          </w:p>
          <w:p w14:paraId="0E5285F7" w14:textId="7CCA4ED9" w:rsidR="00A33DBB" w:rsidRDefault="00A33DBB" w:rsidP="00A33DBB">
            <w:pPr>
              <w:numPr>
                <w:ilvl w:val="0"/>
                <w:numId w:val="9"/>
              </w:numPr>
              <w:rPr>
                <w:rFonts w:ascii="Verdana" w:hAnsi="Verdana" w:cs="Tahoma"/>
                <w:sz w:val="14"/>
                <w:szCs w:val="14"/>
                <w:lang w:val="en-US"/>
              </w:rPr>
            </w:pP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 xml:space="preserve">Support the development of </w:t>
            </w:r>
            <w:r w:rsidR="005D0E5E">
              <w:rPr>
                <w:rFonts w:ascii="Verdana" w:hAnsi="Verdana" w:cs="Tahoma"/>
                <w:sz w:val="14"/>
                <w:szCs w:val="14"/>
                <w:lang w:val="en-US"/>
              </w:rPr>
              <w:t>Person</w:t>
            </w: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noBreakHyphen/>
            </w:r>
            <w:proofErr w:type="spellStart"/>
            <w:r w:rsidR="005D0E5E">
              <w:rPr>
                <w:rFonts w:ascii="Verdana" w:hAnsi="Verdana" w:cs="Tahoma"/>
                <w:sz w:val="14"/>
                <w:szCs w:val="14"/>
                <w:lang w:val="en-US"/>
              </w:rPr>
              <w:t>C</w:t>
            </w: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>ent</w:t>
            </w:r>
            <w:r w:rsidR="005D0E5E">
              <w:rPr>
                <w:rFonts w:ascii="Verdana" w:hAnsi="Verdana" w:cs="Tahoma"/>
                <w:sz w:val="14"/>
                <w:szCs w:val="14"/>
                <w:lang w:val="en-US"/>
              </w:rPr>
              <w:t>re</w:t>
            </w: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>d</w:t>
            </w:r>
            <w:proofErr w:type="spellEnd"/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 xml:space="preserve"> educational materials and resources related to adaptive radiotherapy.</w:t>
            </w:r>
          </w:p>
          <w:p w14:paraId="523F5360" w14:textId="77777777" w:rsidR="00A33DBB" w:rsidRDefault="00A33DBB" w:rsidP="00A33DBB">
            <w:pPr>
              <w:rPr>
                <w:rFonts w:ascii="Verdana" w:hAnsi="Verdana" w:cs="Tahoma"/>
                <w:sz w:val="14"/>
                <w:szCs w:val="14"/>
                <w:lang w:val="en-US"/>
              </w:rPr>
            </w:pPr>
          </w:p>
          <w:p w14:paraId="1F67DF8F" w14:textId="77777777" w:rsidR="00A33DBB" w:rsidRPr="00A33DBB" w:rsidRDefault="00A33DBB" w:rsidP="00A33DBB">
            <w:pPr>
              <w:rPr>
                <w:rFonts w:ascii="Verdana" w:hAnsi="Verdana" w:cs="Tahoma"/>
                <w:b/>
                <w:bCs/>
                <w:sz w:val="14"/>
                <w:szCs w:val="14"/>
                <w:lang w:val="en-US"/>
              </w:rPr>
            </w:pPr>
            <w:r w:rsidRPr="00A33DBB">
              <w:rPr>
                <w:rFonts w:ascii="Verdana" w:hAnsi="Verdana" w:cs="Tahoma"/>
                <w:b/>
                <w:bCs/>
                <w:sz w:val="14"/>
                <w:szCs w:val="14"/>
                <w:lang w:val="en-US"/>
              </w:rPr>
              <w:t>Patient Care and Quality Assurance</w:t>
            </w:r>
          </w:p>
          <w:p w14:paraId="6EF8253F" w14:textId="77777777" w:rsidR="00A33DBB" w:rsidRPr="00A33DBB" w:rsidRDefault="00A33DBB" w:rsidP="00A33DBB">
            <w:pPr>
              <w:numPr>
                <w:ilvl w:val="0"/>
                <w:numId w:val="10"/>
              </w:numPr>
              <w:rPr>
                <w:rFonts w:ascii="Verdana" w:hAnsi="Verdana" w:cs="Tahoma"/>
                <w:sz w:val="14"/>
                <w:szCs w:val="14"/>
                <w:lang w:val="en-US"/>
              </w:rPr>
            </w:pP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>Provide ongoing support for patients undergoing adaptive radiotherapy from initial consultation through treatment and follow</w:t>
            </w: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noBreakHyphen/>
              <w:t>up.</w:t>
            </w:r>
          </w:p>
          <w:p w14:paraId="40B9D9D9" w14:textId="77777777" w:rsidR="00A33DBB" w:rsidRPr="00A33DBB" w:rsidRDefault="00A33DBB" w:rsidP="00A33DBB">
            <w:pPr>
              <w:numPr>
                <w:ilvl w:val="0"/>
                <w:numId w:val="10"/>
              </w:numPr>
              <w:rPr>
                <w:rFonts w:ascii="Verdana" w:hAnsi="Verdana" w:cs="Tahoma"/>
                <w:sz w:val="14"/>
                <w:szCs w:val="14"/>
                <w:lang w:val="en-US"/>
              </w:rPr>
            </w:pP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>Ensure Quality Assurance procedures are maintained for all aspects of patient care within ART workflows.</w:t>
            </w:r>
          </w:p>
          <w:p w14:paraId="34E72C54" w14:textId="77777777" w:rsidR="00A33DBB" w:rsidRPr="00A33DBB" w:rsidRDefault="00A33DBB" w:rsidP="00A33DBB">
            <w:pPr>
              <w:numPr>
                <w:ilvl w:val="0"/>
                <w:numId w:val="10"/>
              </w:numPr>
              <w:rPr>
                <w:rFonts w:ascii="Verdana" w:hAnsi="Verdana" w:cs="Tahoma"/>
                <w:sz w:val="14"/>
                <w:szCs w:val="14"/>
                <w:lang w:val="en-US"/>
              </w:rPr>
            </w:pP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>Promote and model Person</w:t>
            </w:r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noBreakHyphen/>
            </w:r>
            <w:proofErr w:type="spellStart"/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>Centred</w:t>
            </w:r>
            <w:proofErr w:type="spellEnd"/>
            <w:r w:rsidRPr="00A33DBB">
              <w:rPr>
                <w:rFonts w:ascii="Verdana" w:hAnsi="Verdana" w:cs="Tahoma"/>
                <w:sz w:val="14"/>
                <w:szCs w:val="14"/>
                <w:lang w:val="en-US"/>
              </w:rPr>
              <w:t xml:space="preserve"> Care principles in all interactions with patients, families, and caregivers.</w:t>
            </w:r>
          </w:p>
          <w:p w14:paraId="42279BCE" w14:textId="77777777" w:rsidR="00A33DBB" w:rsidRPr="00A33DBB" w:rsidRDefault="00A33DBB" w:rsidP="00A33DBB">
            <w:pPr>
              <w:rPr>
                <w:rFonts w:ascii="Verdana" w:hAnsi="Verdana" w:cs="Tahoma"/>
                <w:sz w:val="14"/>
                <w:szCs w:val="14"/>
                <w:lang w:val="en-US"/>
              </w:rPr>
            </w:pPr>
          </w:p>
          <w:p w14:paraId="726A7BF2" w14:textId="77777777" w:rsidR="00EF7DAC" w:rsidRPr="00A33DBB" w:rsidRDefault="00EF7DAC" w:rsidP="00A33DBB">
            <w:pPr>
              <w:rPr>
                <w:rFonts w:ascii="Verdana" w:hAnsi="Verdana" w:cs="Tahoma"/>
                <w:sz w:val="14"/>
                <w:szCs w:val="14"/>
                <w:lang w:val="en-US"/>
              </w:rPr>
            </w:pPr>
          </w:p>
          <w:p w14:paraId="7A21E241" w14:textId="77777777" w:rsidR="00E3114E" w:rsidRPr="00C912E3" w:rsidRDefault="00E3114E" w:rsidP="00E3114E">
            <w:pPr>
              <w:rPr>
                <w:rFonts w:ascii="Verdana Bold" w:hAnsi="Verdana Bold"/>
                <w:bCs/>
                <w:w w:val="92"/>
                <w:sz w:val="14"/>
                <w:szCs w:val="14"/>
              </w:rPr>
            </w:pPr>
            <w:r w:rsidRPr="00C912E3">
              <w:rPr>
                <w:rFonts w:ascii="Verdana Bold" w:hAnsi="Verdana Bold"/>
                <w:bCs/>
                <w:w w:val="92"/>
                <w:sz w:val="14"/>
                <w:szCs w:val="14"/>
              </w:rPr>
              <w:t>Qualifications/Skills</w:t>
            </w:r>
          </w:p>
          <w:p w14:paraId="76305A5F" w14:textId="77777777" w:rsidR="000A71A4" w:rsidRPr="00C912E3" w:rsidRDefault="000A71A4" w:rsidP="000A71A4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w w:val="92"/>
                <w:sz w:val="14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t>Successful completion of a baccalaureate from an accredited radiation therapy program</w:t>
            </w:r>
          </w:p>
          <w:p w14:paraId="5B049914" w14:textId="0626BBF7" w:rsidR="000A71A4" w:rsidRPr="009B1C54" w:rsidRDefault="000A71A4" w:rsidP="00524ED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w w:val="92"/>
                <w:sz w:val="14"/>
                <w:szCs w:val="14"/>
              </w:rPr>
            </w:pPr>
            <w:r w:rsidRPr="000B7942">
              <w:rPr>
                <w:rFonts w:ascii="Verdana" w:hAnsi="Verdana"/>
                <w:sz w:val="14"/>
                <w:szCs w:val="14"/>
              </w:rPr>
              <w:t>Registered and in good standing with the College of Medical Radiation</w:t>
            </w:r>
            <w:r>
              <w:rPr>
                <w:rFonts w:ascii="Verdana" w:hAnsi="Verdana"/>
                <w:sz w:val="14"/>
                <w:szCs w:val="14"/>
              </w:rPr>
              <w:t xml:space="preserve"> and Imaging</w:t>
            </w:r>
            <w:r w:rsidRPr="000B7942">
              <w:rPr>
                <w:rFonts w:ascii="Verdana" w:hAnsi="Verdana"/>
                <w:sz w:val="14"/>
                <w:szCs w:val="14"/>
              </w:rPr>
              <w:t xml:space="preserve"> Technologists of Ontario (CMR</w:t>
            </w:r>
            <w:r>
              <w:rPr>
                <w:rFonts w:ascii="Verdana" w:hAnsi="Verdana"/>
                <w:sz w:val="14"/>
                <w:szCs w:val="14"/>
              </w:rPr>
              <w:t>I</w:t>
            </w:r>
            <w:r w:rsidRPr="000B7942">
              <w:rPr>
                <w:rFonts w:ascii="Verdana" w:hAnsi="Verdana"/>
                <w:sz w:val="14"/>
                <w:szCs w:val="14"/>
              </w:rPr>
              <w:t>TO)</w:t>
            </w:r>
            <w:r w:rsidR="00257164">
              <w:rPr>
                <w:rFonts w:ascii="Verdana" w:hAnsi="Verdana"/>
                <w:sz w:val="14"/>
                <w:szCs w:val="14"/>
              </w:rPr>
              <w:t>.</w:t>
            </w:r>
          </w:p>
          <w:p w14:paraId="7EFDA137" w14:textId="1DBB6914" w:rsidR="00A32FE0" w:rsidRPr="009B1C54" w:rsidRDefault="00A32FE0" w:rsidP="00524ED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w w:val="92"/>
                <w:sz w:val="14"/>
                <w:szCs w:val="14"/>
              </w:rPr>
            </w:pPr>
            <w:r w:rsidRPr="00C912E3">
              <w:rPr>
                <w:rFonts w:ascii="Verdana" w:hAnsi="Verdana" w:cs="Tahoma"/>
                <w:sz w:val="14"/>
                <w:szCs w:val="14"/>
              </w:rPr>
              <w:t xml:space="preserve">Minimum </w:t>
            </w:r>
            <w:r w:rsidR="00ED7CE3">
              <w:rPr>
                <w:rFonts w:ascii="Verdana" w:hAnsi="Verdana" w:cs="Tahoma"/>
                <w:sz w:val="14"/>
                <w:szCs w:val="14"/>
              </w:rPr>
              <w:t>5</w:t>
            </w:r>
            <w:r w:rsidRPr="00C912E3">
              <w:rPr>
                <w:rFonts w:ascii="Verdana" w:hAnsi="Verdana" w:cs="Tahoma"/>
                <w:sz w:val="14"/>
                <w:szCs w:val="14"/>
              </w:rPr>
              <w:t xml:space="preserve"> years experience as a</w:t>
            </w:r>
            <w:r w:rsidR="00A33DBB">
              <w:rPr>
                <w:rFonts w:ascii="Verdana" w:hAnsi="Verdana" w:cs="Tahoma"/>
                <w:sz w:val="14"/>
                <w:szCs w:val="14"/>
              </w:rPr>
              <w:t>n</w:t>
            </w:r>
            <w:r w:rsidRPr="00C912E3">
              <w:rPr>
                <w:rFonts w:ascii="Verdana" w:hAnsi="Verdana" w:cs="Tahoma"/>
                <w:sz w:val="14"/>
                <w:szCs w:val="14"/>
              </w:rPr>
              <w:t xml:space="preserve"> </w:t>
            </w:r>
            <w:r w:rsidR="00ED7CE3">
              <w:rPr>
                <w:rFonts w:ascii="Verdana" w:hAnsi="Verdana" w:cs="Tahoma"/>
                <w:sz w:val="14"/>
                <w:szCs w:val="14"/>
              </w:rPr>
              <w:t>RTT</w:t>
            </w:r>
            <w:r w:rsidRPr="00C912E3">
              <w:rPr>
                <w:rFonts w:ascii="Verdana" w:hAnsi="Verdana" w:cs="Tahoma"/>
                <w:sz w:val="14"/>
                <w:szCs w:val="14"/>
              </w:rPr>
              <w:t xml:space="preserve">. </w:t>
            </w:r>
          </w:p>
          <w:p w14:paraId="76B2060C" w14:textId="77777777" w:rsidR="00EE5711" w:rsidRPr="00C912E3" w:rsidRDefault="00EE5711" w:rsidP="00EE5711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w w:val="92"/>
                <w:sz w:val="14"/>
                <w:szCs w:val="14"/>
              </w:rPr>
            </w:pPr>
            <w:r w:rsidRPr="00C912E3">
              <w:rPr>
                <w:rFonts w:ascii="Verdana" w:hAnsi="Verdana" w:cs="Tahoma"/>
                <w:sz w:val="14"/>
                <w:szCs w:val="14"/>
              </w:rPr>
              <w:t xml:space="preserve">Current CPR certificate is required.  </w:t>
            </w:r>
          </w:p>
          <w:p w14:paraId="631EA7ED" w14:textId="470691B2" w:rsidR="00524ED8" w:rsidRDefault="00524ED8" w:rsidP="00524ED8">
            <w:pPr>
              <w:numPr>
                <w:ilvl w:val="0"/>
                <w:numId w:val="1"/>
              </w:numPr>
              <w:rPr>
                <w:rFonts w:ascii="Verdana" w:hAnsi="Verdana"/>
                <w:sz w:val="14"/>
                <w:szCs w:val="14"/>
              </w:rPr>
            </w:pPr>
            <w:r w:rsidRPr="006A78AE">
              <w:rPr>
                <w:rFonts w:ascii="Verdana" w:hAnsi="Verdana"/>
                <w:sz w:val="14"/>
                <w:szCs w:val="14"/>
              </w:rPr>
              <w:t xml:space="preserve">Completion or </w:t>
            </w:r>
            <w:r w:rsidR="00E4265D">
              <w:rPr>
                <w:rFonts w:ascii="Verdana" w:hAnsi="Verdana"/>
                <w:sz w:val="14"/>
                <w:szCs w:val="14"/>
              </w:rPr>
              <w:t>enrolled in</w:t>
            </w:r>
            <w:r w:rsidRPr="006A78AE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75856">
              <w:rPr>
                <w:rFonts w:ascii="Verdana" w:hAnsi="Verdana"/>
                <w:sz w:val="14"/>
                <w:szCs w:val="14"/>
              </w:rPr>
              <w:t xml:space="preserve">a </w:t>
            </w:r>
            <w:proofErr w:type="gramStart"/>
            <w:r w:rsidR="00475856">
              <w:rPr>
                <w:rFonts w:ascii="Verdana" w:hAnsi="Verdana"/>
                <w:sz w:val="14"/>
                <w:szCs w:val="14"/>
              </w:rPr>
              <w:t>Master</w:t>
            </w:r>
            <w:r w:rsidR="000A71A4">
              <w:rPr>
                <w:rFonts w:ascii="Verdana" w:hAnsi="Verdana"/>
                <w:sz w:val="14"/>
                <w:szCs w:val="14"/>
              </w:rPr>
              <w:t>’</w:t>
            </w:r>
            <w:r w:rsidR="00475856">
              <w:rPr>
                <w:rFonts w:ascii="Verdana" w:hAnsi="Verdana"/>
                <w:sz w:val="14"/>
                <w:szCs w:val="14"/>
              </w:rPr>
              <w:t>s</w:t>
            </w:r>
            <w:proofErr w:type="gramEnd"/>
            <w:r w:rsidR="00475856">
              <w:rPr>
                <w:rFonts w:ascii="Verdana" w:hAnsi="Verdana"/>
                <w:sz w:val="14"/>
                <w:szCs w:val="14"/>
              </w:rPr>
              <w:t xml:space="preserve"> level or higher degree</w:t>
            </w:r>
            <w:r w:rsidR="000A71A4">
              <w:rPr>
                <w:rFonts w:ascii="Verdana" w:hAnsi="Verdana"/>
                <w:sz w:val="14"/>
                <w:szCs w:val="14"/>
              </w:rPr>
              <w:t xml:space="preserve"> are considered an asset</w:t>
            </w:r>
            <w:r w:rsidR="00475856">
              <w:rPr>
                <w:rFonts w:ascii="Verdana" w:hAnsi="Verdana"/>
                <w:sz w:val="14"/>
                <w:szCs w:val="14"/>
              </w:rPr>
              <w:t xml:space="preserve"> (</w:t>
            </w:r>
            <w:r w:rsidR="000A71A4">
              <w:rPr>
                <w:rFonts w:ascii="Verdana" w:hAnsi="Verdana"/>
                <w:sz w:val="14"/>
                <w:szCs w:val="14"/>
              </w:rPr>
              <w:t xml:space="preserve">the </w:t>
            </w:r>
            <w:r w:rsidR="00475856">
              <w:rPr>
                <w:rFonts w:ascii="Verdana" w:hAnsi="Verdana"/>
                <w:sz w:val="14"/>
                <w:szCs w:val="14"/>
              </w:rPr>
              <w:t>successful candidate will be expected to compl</w:t>
            </w:r>
            <w:r w:rsidR="00111C07">
              <w:rPr>
                <w:rFonts w:ascii="Verdana" w:hAnsi="Verdana"/>
                <w:sz w:val="14"/>
                <w:szCs w:val="14"/>
              </w:rPr>
              <w:t>ete</w:t>
            </w:r>
            <w:r w:rsidR="000A71A4">
              <w:rPr>
                <w:rFonts w:ascii="Verdana" w:hAnsi="Verdana"/>
                <w:sz w:val="14"/>
                <w:szCs w:val="14"/>
              </w:rPr>
              <w:t xml:space="preserve"> a</w:t>
            </w:r>
            <w:r w:rsidR="00111C0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gramStart"/>
            <w:r w:rsidR="00111C07">
              <w:rPr>
                <w:rFonts w:ascii="Verdana" w:hAnsi="Verdana"/>
                <w:sz w:val="14"/>
                <w:szCs w:val="14"/>
              </w:rPr>
              <w:t>Master</w:t>
            </w:r>
            <w:r w:rsidR="000A71A4">
              <w:rPr>
                <w:rFonts w:ascii="Verdana" w:hAnsi="Verdana"/>
                <w:sz w:val="14"/>
                <w:szCs w:val="14"/>
              </w:rPr>
              <w:t>’</w:t>
            </w:r>
            <w:r w:rsidR="00111C07">
              <w:rPr>
                <w:rFonts w:ascii="Verdana" w:hAnsi="Verdana"/>
                <w:sz w:val="14"/>
                <w:szCs w:val="14"/>
              </w:rPr>
              <w:t>s</w:t>
            </w:r>
            <w:proofErr w:type="gramEnd"/>
            <w:r w:rsidR="00111C07">
              <w:rPr>
                <w:rFonts w:ascii="Verdana" w:hAnsi="Verdana"/>
                <w:sz w:val="14"/>
                <w:szCs w:val="14"/>
              </w:rPr>
              <w:t xml:space="preserve"> degree as condition of acceptance of position)</w:t>
            </w:r>
            <w:r w:rsidR="009B1C54">
              <w:rPr>
                <w:rFonts w:ascii="Verdana" w:hAnsi="Verdana"/>
                <w:sz w:val="14"/>
                <w:szCs w:val="14"/>
              </w:rPr>
              <w:t>.</w:t>
            </w:r>
          </w:p>
          <w:p w14:paraId="41BF24B5" w14:textId="093F301A" w:rsidR="00F51EDC" w:rsidRDefault="00257164" w:rsidP="00F51EDC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Willing</w:t>
            </w:r>
            <w:r w:rsidR="00A33DBB">
              <w:rPr>
                <w:rFonts w:ascii="Verdana" w:hAnsi="Verdana"/>
                <w:sz w:val="14"/>
                <w:szCs w:val="14"/>
              </w:rPr>
              <w:t>ness</w:t>
            </w:r>
            <w:r>
              <w:rPr>
                <w:rFonts w:ascii="Verdana" w:hAnsi="Verdana"/>
                <w:sz w:val="14"/>
                <w:szCs w:val="14"/>
              </w:rPr>
              <w:t xml:space="preserve"> to work towards APRT</w:t>
            </w:r>
            <w:r w:rsidR="00F51EDC">
              <w:rPr>
                <w:rFonts w:ascii="Verdana" w:hAnsi="Verdana"/>
                <w:sz w:val="14"/>
                <w:szCs w:val="14"/>
              </w:rPr>
              <w:t>(T) certification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  <w:r w:rsidR="00F51EDC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14:paraId="2E3B73A5" w14:textId="0286074A" w:rsidR="008D2B3E" w:rsidRPr="00111C07" w:rsidRDefault="00A32FE0" w:rsidP="00111C07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w w:val="92"/>
                <w:sz w:val="14"/>
                <w:szCs w:val="14"/>
              </w:rPr>
            </w:pPr>
            <w:r w:rsidRPr="00C912E3">
              <w:rPr>
                <w:rFonts w:ascii="Verdana" w:hAnsi="Verdana" w:cs="Tahoma"/>
                <w:sz w:val="14"/>
                <w:szCs w:val="14"/>
              </w:rPr>
              <w:t>Strong interpersonal skills and the ability to work both independently and wi</w:t>
            </w:r>
            <w:r w:rsidR="00257164">
              <w:rPr>
                <w:rFonts w:ascii="Verdana" w:hAnsi="Verdana" w:cs="Tahoma"/>
                <w:sz w:val="14"/>
                <w:szCs w:val="14"/>
              </w:rPr>
              <w:t>thin an interprofessional team.</w:t>
            </w:r>
          </w:p>
          <w:p w14:paraId="064C1DF5" w14:textId="59FF97CA" w:rsidR="008D2B3E" w:rsidRDefault="008D2B3E" w:rsidP="00524ED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Verdana" w:hAnsi="Verdana"/>
                <w:sz w:val="14"/>
                <w:szCs w:val="14"/>
              </w:rPr>
            </w:pPr>
            <w:r w:rsidRPr="00C912E3">
              <w:rPr>
                <w:rFonts w:ascii="Verdana" w:hAnsi="Verdana"/>
                <w:sz w:val="14"/>
                <w:szCs w:val="14"/>
              </w:rPr>
              <w:t xml:space="preserve">Demonstrated commitment to </w:t>
            </w:r>
            <w:r w:rsidR="002B1FE6" w:rsidRPr="00C912E3">
              <w:rPr>
                <w:rFonts w:ascii="Verdana" w:hAnsi="Verdana"/>
                <w:sz w:val="14"/>
                <w:szCs w:val="14"/>
              </w:rPr>
              <w:t>Person-centred</w:t>
            </w:r>
            <w:r w:rsidRPr="00C912E3">
              <w:rPr>
                <w:rFonts w:ascii="Verdana" w:hAnsi="Verdana"/>
                <w:sz w:val="14"/>
                <w:szCs w:val="14"/>
              </w:rPr>
              <w:t xml:space="preserve"> Care approach</w:t>
            </w:r>
            <w:r w:rsidR="00F51EDC">
              <w:rPr>
                <w:rFonts w:ascii="Verdana" w:hAnsi="Verdana"/>
                <w:sz w:val="14"/>
                <w:szCs w:val="14"/>
              </w:rPr>
              <w:t>es</w:t>
            </w:r>
            <w:r w:rsidRPr="00C912E3">
              <w:rPr>
                <w:rFonts w:ascii="Verdana" w:hAnsi="Verdana"/>
                <w:sz w:val="14"/>
                <w:szCs w:val="14"/>
              </w:rPr>
              <w:t xml:space="preserve"> and principles</w:t>
            </w:r>
            <w:r w:rsidR="00257164">
              <w:rPr>
                <w:rFonts w:ascii="Verdana" w:hAnsi="Verdana"/>
                <w:sz w:val="14"/>
                <w:szCs w:val="14"/>
              </w:rPr>
              <w:t>.</w:t>
            </w:r>
          </w:p>
          <w:p w14:paraId="6AB770AB" w14:textId="6270D19D" w:rsidR="00257164" w:rsidRPr="009B1C54" w:rsidRDefault="00257164" w:rsidP="00257164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w w:val="92"/>
                <w:sz w:val="14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t>Strong knowledge base of radiation treatment techniques,</w:t>
            </w:r>
            <w:r w:rsidR="002B1FE6">
              <w:rPr>
                <w:rFonts w:ascii="Verdana" w:hAnsi="Verdana" w:cs="Tahoma"/>
                <w:sz w:val="14"/>
                <w:szCs w:val="14"/>
              </w:rPr>
              <w:t xml:space="preserve"> including </w:t>
            </w:r>
            <w:r w:rsidR="00D41DA7">
              <w:rPr>
                <w:rFonts w:ascii="Verdana" w:hAnsi="Verdana" w:cs="Tahoma"/>
                <w:sz w:val="14"/>
                <w:szCs w:val="14"/>
              </w:rPr>
              <w:t>ART</w:t>
            </w:r>
            <w:r w:rsidR="002B1FE6">
              <w:rPr>
                <w:rFonts w:ascii="Verdana" w:hAnsi="Verdana" w:cs="Tahoma"/>
                <w:sz w:val="14"/>
                <w:szCs w:val="14"/>
              </w:rPr>
              <w:t>,</w:t>
            </w:r>
            <w:r>
              <w:rPr>
                <w:rFonts w:ascii="Verdana" w:hAnsi="Verdana" w:cs="Tahoma"/>
                <w:sz w:val="14"/>
                <w:szCs w:val="14"/>
              </w:rPr>
              <w:t xml:space="preserve"> capabilities of radiation therapy technologies</w:t>
            </w:r>
            <w:r w:rsidR="00A33DBB">
              <w:rPr>
                <w:rFonts w:ascii="Verdana" w:hAnsi="Verdana" w:cs="Tahoma"/>
                <w:sz w:val="14"/>
                <w:szCs w:val="14"/>
              </w:rPr>
              <w:t xml:space="preserve"> </w:t>
            </w:r>
            <w:r>
              <w:rPr>
                <w:rFonts w:ascii="Verdana" w:hAnsi="Verdana" w:cs="Tahoma"/>
                <w:sz w:val="14"/>
                <w:szCs w:val="14"/>
              </w:rPr>
              <w:t xml:space="preserve">and management of radiation therapy related </w:t>
            </w:r>
            <w:r w:rsidR="00A33DBB">
              <w:rPr>
                <w:rFonts w:ascii="Verdana" w:hAnsi="Verdana" w:cs="Tahoma"/>
                <w:sz w:val="14"/>
                <w:szCs w:val="14"/>
              </w:rPr>
              <w:t>side</w:t>
            </w:r>
            <w:r>
              <w:rPr>
                <w:rFonts w:ascii="Verdana" w:hAnsi="Verdana" w:cs="Tahoma"/>
                <w:sz w:val="14"/>
                <w:szCs w:val="14"/>
              </w:rPr>
              <w:t xml:space="preserve"> effects are considered an asset.</w:t>
            </w:r>
          </w:p>
          <w:p w14:paraId="63241093" w14:textId="1C92031B" w:rsidR="00257164" w:rsidRPr="00257164" w:rsidRDefault="00257164" w:rsidP="00257164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Tahoma"/>
                <w:sz w:val="14"/>
                <w:szCs w:val="14"/>
              </w:rPr>
            </w:pPr>
            <w:r w:rsidRPr="00257164">
              <w:rPr>
                <w:rFonts w:ascii="Verdana" w:hAnsi="Verdana" w:cs="Tahoma"/>
                <w:sz w:val="14"/>
                <w:szCs w:val="14"/>
              </w:rPr>
              <w:t>Proficiency in teaching, research or quality improvement, project development and management, and effective presentation skills will be viewed as an asset</w:t>
            </w:r>
            <w:r w:rsidRPr="00C912E3">
              <w:rPr>
                <w:rFonts w:ascii="Verdana" w:hAnsi="Verdana" w:cs="Tahoma"/>
                <w:sz w:val="14"/>
                <w:szCs w:val="14"/>
              </w:rPr>
              <w:t xml:space="preserve">. </w:t>
            </w:r>
          </w:p>
          <w:p w14:paraId="509DCF9F" w14:textId="77777777" w:rsidR="002433FC" w:rsidRDefault="002433FC" w:rsidP="00C912E3">
            <w:pPr>
              <w:tabs>
                <w:tab w:val="left" w:pos="-720"/>
                <w:tab w:val="left" w:pos="0"/>
              </w:tabs>
              <w:suppressAutoHyphens/>
              <w:rPr>
                <w:rFonts w:ascii="Tahoma" w:hAnsi="Tahoma" w:cs="Tahoma"/>
                <w:b/>
                <w:sz w:val="14"/>
                <w:szCs w:val="14"/>
              </w:rPr>
            </w:pPr>
          </w:p>
          <w:p w14:paraId="3125F055" w14:textId="3B00B1DC" w:rsidR="00E3114E" w:rsidRPr="00C912E3" w:rsidRDefault="00FA668B" w:rsidP="00C912E3">
            <w:pPr>
              <w:tabs>
                <w:tab w:val="left" w:pos="-720"/>
                <w:tab w:val="left" w:pos="0"/>
              </w:tabs>
              <w:suppressAutoHyphens/>
              <w:rPr>
                <w:rFonts w:ascii="Tahoma" w:hAnsi="Tahoma" w:cs="Tahoma"/>
                <w:spacing w:val="-2"/>
                <w:sz w:val="14"/>
                <w:szCs w:val="14"/>
                <w:lang w:val="en-GB"/>
              </w:rPr>
            </w:pPr>
            <w:r w:rsidRPr="00C912E3">
              <w:rPr>
                <w:rFonts w:ascii="Tahoma" w:hAnsi="Tahoma" w:cs="Tahoma"/>
                <w:b/>
                <w:sz w:val="14"/>
                <w:szCs w:val="14"/>
              </w:rPr>
              <w:t xml:space="preserve">Date Posted:  </w:t>
            </w:r>
            <w:r w:rsidRPr="00C912E3">
              <w:rPr>
                <w:rFonts w:ascii="Tahoma" w:hAnsi="Tahoma" w:cs="Tahoma"/>
                <w:sz w:val="14"/>
                <w:szCs w:val="14"/>
              </w:rPr>
              <w:br/>
            </w:r>
            <w:r w:rsidRPr="00C912E3">
              <w:rPr>
                <w:rFonts w:ascii="Tahoma" w:hAnsi="Tahoma" w:cs="Tahoma"/>
                <w:b/>
                <w:sz w:val="14"/>
                <w:szCs w:val="14"/>
              </w:rPr>
              <w:t>Last Day for Application:</w:t>
            </w:r>
            <w:r w:rsidRPr="00C912E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1781CCCA" w14:textId="77777777" w:rsidR="00E3114E" w:rsidRPr="000B473E" w:rsidRDefault="00E3114E" w:rsidP="00524ED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Verdana" w:hAnsi="Verdana"/>
                <w:sz w:val="14"/>
              </w:rPr>
            </w:pPr>
            <w:r w:rsidRPr="000B473E">
              <w:rPr>
                <w:rFonts w:ascii="Verdana" w:hAnsi="Verdana"/>
                <w:sz w:val="14"/>
              </w:rPr>
              <w:t>The location and/or details in the job posting may change depending on operational needs</w:t>
            </w:r>
            <w:r w:rsidR="00F6304B" w:rsidRPr="000B473E">
              <w:rPr>
                <w:rFonts w:ascii="Verdana" w:hAnsi="Verdana"/>
                <w:sz w:val="14"/>
              </w:rPr>
              <w:t>.</w:t>
            </w:r>
          </w:p>
          <w:p w14:paraId="699A280A" w14:textId="77777777" w:rsidR="00E3114E" w:rsidRPr="000B473E" w:rsidRDefault="00E3114E" w:rsidP="00524ED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Verdana" w:hAnsi="Verdana"/>
                <w:sz w:val="14"/>
              </w:rPr>
            </w:pPr>
            <w:r w:rsidRPr="000B473E">
              <w:rPr>
                <w:rFonts w:ascii="Verdana" w:hAnsi="Verdana"/>
                <w:sz w:val="14"/>
              </w:rPr>
              <w:t xml:space="preserve">Qualified Applicants must submit both an Internal Application/Transfer Form and current </w:t>
            </w:r>
            <w:r w:rsidR="00F6304B" w:rsidRPr="000B473E">
              <w:rPr>
                <w:rFonts w:ascii="Verdana" w:hAnsi="Verdana"/>
                <w:sz w:val="14"/>
              </w:rPr>
              <w:t>Résumé</w:t>
            </w:r>
            <w:r w:rsidRPr="000B473E">
              <w:rPr>
                <w:rFonts w:ascii="Verdana" w:hAnsi="Verdana"/>
                <w:sz w:val="14"/>
              </w:rPr>
              <w:t xml:space="preserve"> to the Human Resources Department at their campus. Qualifications, skills and </w:t>
            </w:r>
            <w:r w:rsidRPr="000B473E">
              <w:rPr>
                <w:rFonts w:ascii="Verdana" w:hAnsi="Verdana"/>
                <w:sz w:val="14"/>
              </w:rPr>
              <w:lastRenderedPageBreak/>
              <w:t>demonstrated satisfactory attendance and performance are considered as part of the selection process.</w:t>
            </w:r>
          </w:p>
          <w:p w14:paraId="59FEEC7C" w14:textId="24B409DC" w:rsidR="009B454F" w:rsidRPr="000B473E" w:rsidRDefault="00E3114E" w:rsidP="00524ED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4"/>
              </w:rPr>
            </w:pPr>
            <w:r w:rsidRPr="000B473E">
              <w:rPr>
                <w:rFonts w:ascii="Verdana" w:hAnsi="Verdana"/>
                <w:sz w:val="14"/>
              </w:rPr>
              <w:t xml:space="preserve">Sunnybrook is committed to providing accessible employment practices that </w:t>
            </w:r>
            <w:proofErr w:type="gramStart"/>
            <w:r w:rsidRPr="000B473E">
              <w:rPr>
                <w:rFonts w:ascii="Verdana" w:hAnsi="Verdana"/>
                <w:sz w:val="14"/>
              </w:rPr>
              <w:t>are in compliance with</w:t>
            </w:r>
            <w:proofErr w:type="gramEnd"/>
            <w:r w:rsidRPr="000B473E">
              <w:rPr>
                <w:rFonts w:ascii="Verdana" w:hAnsi="Verdana"/>
                <w:sz w:val="14"/>
              </w:rPr>
              <w:t xml:space="preserve"> the Accessibility for Ontarians with Disabilities Act (‘AODA’). If you require accommodation for disability during any stage of the recruitment process, please indicate this on your Internal Application/Transfer Form</w:t>
            </w:r>
            <w:r w:rsidR="00F6304B" w:rsidRPr="000B473E">
              <w:rPr>
                <w:rFonts w:ascii="Verdana" w:hAnsi="Verdana"/>
                <w:sz w:val="14"/>
              </w:rPr>
              <w:t>.</w:t>
            </w:r>
          </w:p>
          <w:p w14:paraId="23C33D9F" w14:textId="77777777" w:rsidR="009B454F" w:rsidRPr="009B454F" w:rsidRDefault="009B454F" w:rsidP="003643FA">
            <w:pPr>
              <w:jc w:val="both"/>
              <w:rPr>
                <w:rFonts w:ascii="Verdana" w:hAnsi="Verdana" w:cs="Arial"/>
                <w:w w:val="93"/>
                <w:sz w:val="12"/>
                <w:szCs w:val="12"/>
              </w:rPr>
            </w:pPr>
          </w:p>
        </w:tc>
      </w:tr>
    </w:tbl>
    <w:p w14:paraId="1FDB38C6" w14:textId="77777777" w:rsidR="00D357ED" w:rsidRPr="00337073" w:rsidRDefault="00D357ED" w:rsidP="00337073">
      <w:pPr>
        <w:rPr>
          <w:sz w:val="6"/>
          <w:szCs w:val="6"/>
        </w:rPr>
      </w:pPr>
    </w:p>
    <w:sectPr w:rsidR="00D357ED" w:rsidRPr="00337073" w:rsidSect="00CC1460">
      <w:pgSz w:w="12240" w:h="15840" w:code="1"/>
      <w:pgMar w:top="27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20B08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13A8"/>
    <w:multiLevelType w:val="hybridMultilevel"/>
    <w:tmpl w:val="89B436C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939C3"/>
    <w:multiLevelType w:val="hybridMultilevel"/>
    <w:tmpl w:val="37B21F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0D73"/>
    <w:multiLevelType w:val="hybridMultilevel"/>
    <w:tmpl w:val="38B4C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07F88"/>
    <w:multiLevelType w:val="multilevel"/>
    <w:tmpl w:val="D40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04955"/>
    <w:multiLevelType w:val="multilevel"/>
    <w:tmpl w:val="2534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720918"/>
    <w:multiLevelType w:val="hybridMultilevel"/>
    <w:tmpl w:val="0DC4741C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24C58DD"/>
    <w:multiLevelType w:val="multilevel"/>
    <w:tmpl w:val="986A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91A24"/>
    <w:multiLevelType w:val="hybridMultilevel"/>
    <w:tmpl w:val="001E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44FFA"/>
    <w:multiLevelType w:val="hybridMultilevel"/>
    <w:tmpl w:val="C09CD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65A4E"/>
    <w:multiLevelType w:val="hybridMultilevel"/>
    <w:tmpl w:val="3E8035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074502">
    <w:abstractNumId w:val="5"/>
  </w:num>
  <w:num w:numId="2" w16cid:durableId="858715">
    <w:abstractNumId w:val="2"/>
  </w:num>
  <w:num w:numId="3" w16cid:durableId="433288487">
    <w:abstractNumId w:val="9"/>
  </w:num>
  <w:num w:numId="4" w16cid:durableId="1805342698">
    <w:abstractNumId w:val="1"/>
  </w:num>
  <w:num w:numId="5" w16cid:durableId="1247760481">
    <w:abstractNumId w:val="8"/>
  </w:num>
  <w:num w:numId="6" w16cid:durableId="263148432">
    <w:abstractNumId w:val="7"/>
  </w:num>
  <w:num w:numId="7" w16cid:durableId="1966697188">
    <w:abstractNumId w:val="0"/>
  </w:num>
  <w:num w:numId="8" w16cid:durableId="1705135176">
    <w:abstractNumId w:val="6"/>
  </w:num>
  <w:num w:numId="9" w16cid:durableId="1332441294">
    <w:abstractNumId w:val="4"/>
  </w:num>
  <w:num w:numId="10" w16cid:durableId="141772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4E"/>
    <w:rsid w:val="000037BE"/>
    <w:rsid w:val="00023932"/>
    <w:rsid w:val="00057697"/>
    <w:rsid w:val="000748C1"/>
    <w:rsid w:val="000A71A4"/>
    <w:rsid w:val="000A7EFA"/>
    <w:rsid w:val="000B0DE4"/>
    <w:rsid w:val="000B473E"/>
    <w:rsid w:val="000E16FF"/>
    <w:rsid w:val="0010530B"/>
    <w:rsid w:val="00111C07"/>
    <w:rsid w:val="001121A8"/>
    <w:rsid w:val="00113354"/>
    <w:rsid w:val="00134FE7"/>
    <w:rsid w:val="00140F26"/>
    <w:rsid w:val="0015352D"/>
    <w:rsid w:val="0017778A"/>
    <w:rsid w:val="00187186"/>
    <w:rsid w:val="0019073D"/>
    <w:rsid w:val="001B16F3"/>
    <w:rsid w:val="001B5855"/>
    <w:rsid w:val="001C2919"/>
    <w:rsid w:val="001D5829"/>
    <w:rsid w:val="001F2C55"/>
    <w:rsid w:val="001F3199"/>
    <w:rsid w:val="00204EEC"/>
    <w:rsid w:val="00242394"/>
    <w:rsid w:val="002433FC"/>
    <w:rsid w:val="00246312"/>
    <w:rsid w:val="00257164"/>
    <w:rsid w:val="002667D4"/>
    <w:rsid w:val="00291B1A"/>
    <w:rsid w:val="002A5729"/>
    <w:rsid w:val="002A7F3A"/>
    <w:rsid w:val="002B1FE6"/>
    <w:rsid w:val="002D51F7"/>
    <w:rsid w:val="002F09D2"/>
    <w:rsid w:val="002F51E5"/>
    <w:rsid w:val="0030400C"/>
    <w:rsid w:val="00311532"/>
    <w:rsid w:val="00322587"/>
    <w:rsid w:val="0033652C"/>
    <w:rsid w:val="00337073"/>
    <w:rsid w:val="00356FE5"/>
    <w:rsid w:val="003643FA"/>
    <w:rsid w:val="00374043"/>
    <w:rsid w:val="003743D5"/>
    <w:rsid w:val="003774FD"/>
    <w:rsid w:val="003B497D"/>
    <w:rsid w:val="003C59E8"/>
    <w:rsid w:val="003D2F2D"/>
    <w:rsid w:val="003F778C"/>
    <w:rsid w:val="00404D36"/>
    <w:rsid w:val="0042093F"/>
    <w:rsid w:val="004227EA"/>
    <w:rsid w:val="004275CF"/>
    <w:rsid w:val="004359D8"/>
    <w:rsid w:val="00437001"/>
    <w:rsid w:val="0044056E"/>
    <w:rsid w:val="00446137"/>
    <w:rsid w:val="004571AA"/>
    <w:rsid w:val="00462AC0"/>
    <w:rsid w:val="00471E3D"/>
    <w:rsid w:val="00472BAF"/>
    <w:rsid w:val="00475856"/>
    <w:rsid w:val="004856F5"/>
    <w:rsid w:val="00487688"/>
    <w:rsid w:val="004A3BC2"/>
    <w:rsid w:val="004D6D53"/>
    <w:rsid w:val="004D7510"/>
    <w:rsid w:val="005150C2"/>
    <w:rsid w:val="005246A1"/>
    <w:rsid w:val="00524ED8"/>
    <w:rsid w:val="0053736D"/>
    <w:rsid w:val="00575AE7"/>
    <w:rsid w:val="00583798"/>
    <w:rsid w:val="005840C8"/>
    <w:rsid w:val="005A0929"/>
    <w:rsid w:val="005A259B"/>
    <w:rsid w:val="005A4535"/>
    <w:rsid w:val="005C7BBA"/>
    <w:rsid w:val="005D0E5E"/>
    <w:rsid w:val="005D1526"/>
    <w:rsid w:val="005D22CB"/>
    <w:rsid w:val="005D5CED"/>
    <w:rsid w:val="00604157"/>
    <w:rsid w:val="00616D66"/>
    <w:rsid w:val="00623091"/>
    <w:rsid w:val="0062516D"/>
    <w:rsid w:val="00634D21"/>
    <w:rsid w:val="00651B1C"/>
    <w:rsid w:val="00654B23"/>
    <w:rsid w:val="0066381F"/>
    <w:rsid w:val="006A53E2"/>
    <w:rsid w:val="006A78AE"/>
    <w:rsid w:val="006B1C54"/>
    <w:rsid w:val="006D768F"/>
    <w:rsid w:val="006E0BFA"/>
    <w:rsid w:val="006F2C29"/>
    <w:rsid w:val="00702200"/>
    <w:rsid w:val="00703B02"/>
    <w:rsid w:val="007307C2"/>
    <w:rsid w:val="00733026"/>
    <w:rsid w:val="0074620D"/>
    <w:rsid w:val="0076446F"/>
    <w:rsid w:val="00776751"/>
    <w:rsid w:val="0078299F"/>
    <w:rsid w:val="007A67D6"/>
    <w:rsid w:val="007C50BE"/>
    <w:rsid w:val="00813322"/>
    <w:rsid w:val="008628E2"/>
    <w:rsid w:val="008738F6"/>
    <w:rsid w:val="0089040C"/>
    <w:rsid w:val="008929AA"/>
    <w:rsid w:val="008A0F57"/>
    <w:rsid w:val="008A54D1"/>
    <w:rsid w:val="008C5F95"/>
    <w:rsid w:val="008D2B3E"/>
    <w:rsid w:val="008D6D58"/>
    <w:rsid w:val="008F7154"/>
    <w:rsid w:val="009152B4"/>
    <w:rsid w:val="00920D03"/>
    <w:rsid w:val="00941126"/>
    <w:rsid w:val="00967987"/>
    <w:rsid w:val="00970451"/>
    <w:rsid w:val="00975E5C"/>
    <w:rsid w:val="00977C24"/>
    <w:rsid w:val="00982E82"/>
    <w:rsid w:val="009917DD"/>
    <w:rsid w:val="00995523"/>
    <w:rsid w:val="00995925"/>
    <w:rsid w:val="009B1C54"/>
    <w:rsid w:val="009B454F"/>
    <w:rsid w:val="009D2C26"/>
    <w:rsid w:val="009F32CA"/>
    <w:rsid w:val="00A140E3"/>
    <w:rsid w:val="00A22DAA"/>
    <w:rsid w:val="00A32FE0"/>
    <w:rsid w:val="00A33DBB"/>
    <w:rsid w:val="00A3441E"/>
    <w:rsid w:val="00A945DC"/>
    <w:rsid w:val="00AA6CA1"/>
    <w:rsid w:val="00AB7B97"/>
    <w:rsid w:val="00AC2A2E"/>
    <w:rsid w:val="00AC34E6"/>
    <w:rsid w:val="00AC47E9"/>
    <w:rsid w:val="00AD3347"/>
    <w:rsid w:val="00B45C10"/>
    <w:rsid w:val="00B7320F"/>
    <w:rsid w:val="00B841AE"/>
    <w:rsid w:val="00BA1716"/>
    <w:rsid w:val="00BC15CE"/>
    <w:rsid w:val="00BC7F18"/>
    <w:rsid w:val="00BE2423"/>
    <w:rsid w:val="00C32545"/>
    <w:rsid w:val="00C538EC"/>
    <w:rsid w:val="00C54943"/>
    <w:rsid w:val="00C559DA"/>
    <w:rsid w:val="00C912E3"/>
    <w:rsid w:val="00C949B3"/>
    <w:rsid w:val="00CA3F69"/>
    <w:rsid w:val="00CB501A"/>
    <w:rsid w:val="00CC1460"/>
    <w:rsid w:val="00CC2B4B"/>
    <w:rsid w:val="00CC3B71"/>
    <w:rsid w:val="00CC4886"/>
    <w:rsid w:val="00CD1C52"/>
    <w:rsid w:val="00CD6C1E"/>
    <w:rsid w:val="00CE5BE1"/>
    <w:rsid w:val="00D357ED"/>
    <w:rsid w:val="00D41DA7"/>
    <w:rsid w:val="00D52228"/>
    <w:rsid w:val="00D95264"/>
    <w:rsid w:val="00DA427F"/>
    <w:rsid w:val="00DA4A63"/>
    <w:rsid w:val="00DB717D"/>
    <w:rsid w:val="00DC0EA6"/>
    <w:rsid w:val="00DC2D81"/>
    <w:rsid w:val="00DC5EEF"/>
    <w:rsid w:val="00DD1880"/>
    <w:rsid w:val="00DE128D"/>
    <w:rsid w:val="00DE64FB"/>
    <w:rsid w:val="00DE7A1B"/>
    <w:rsid w:val="00DF61FB"/>
    <w:rsid w:val="00E25318"/>
    <w:rsid w:val="00E302E6"/>
    <w:rsid w:val="00E3114E"/>
    <w:rsid w:val="00E4265D"/>
    <w:rsid w:val="00E76F68"/>
    <w:rsid w:val="00E771B5"/>
    <w:rsid w:val="00E855FF"/>
    <w:rsid w:val="00EA208D"/>
    <w:rsid w:val="00ED147B"/>
    <w:rsid w:val="00ED50CF"/>
    <w:rsid w:val="00ED5783"/>
    <w:rsid w:val="00ED7CE3"/>
    <w:rsid w:val="00EE5711"/>
    <w:rsid w:val="00EF6F93"/>
    <w:rsid w:val="00EF7DAC"/>
    <w:rsid w:val="00F033E0"/>
    <w:rsid w:val="00F03AC8"/>
    <w:rsid w:val="00F36DC6"/>
    <w:rsid w:val="00F45167"/>
    <w:rsid w:val="00F47228"/>
    <w:rsid w:val="00F51EDC"/>
    <w:rsid w:val="00F6304B"/>
    <w:rsid w:val="00F746FA"/>
    <w:rsid w:val="00F76F9F"/>
    <w:rsid w:val="00F864BF"/>
    <w:rsid w:val="00FA668B"/>
    <w:rsid w:val="00FC1485"/>
    <w:rsid w:val="00FC606D"/>
    <w:rsid w:val="00FC76E8"/>
    <w:rsid w:val="00FE0675"/>
    <w:rsid w:val="00FE28BE"/>
    <w:rsid w:val="00FE5097"/>
    <w:rsid w:val="00FE5C53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DAE9"/>
  <w15:docId w15:val="{A672F90C-214F-402A-BB9D-D87508E7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4E"/>
    <w:rPr>
      <w:rFonts w:ascii="Tahoma" w:hAnsi="Tahoma" w:cs="Tahoma"/>
      <w:sz w:val="16"/>
      <w:szCs w:val="16"/>
    </w:rPr>
  </w:style>
  <w:style w:type="character" w:customStyle="1" w:styleId="JobTitle">
    <w:name w:val="Job Title"/>
    <w:uiPriority w:val="1"/>
    <w:qFormat/>
    <w:rsid w:val="00E3114E"/>
    <w:rPr>
      <w:rFonts w:ascii="Helvetica Neue" w:hAnsi="Helvetica Neue"/>
      <w:b/>
      <w:noProof/>
      <w:color w:val="63AF34"/>
      <w:sz w:val="48"/>
      <w:szCs w:val="48"/>
    </w:rPr>
  </w:style>
  <w:style w:type="paragraph" w:customStyle="1" w:styleId="Posting">
    <w:name w:val="Posting"/>
    <w:basedOn w:val="Normal"/>
    <w:qFormat/>
    <w:rsid w:val="00E3114E"/>
    <w:pPr>
      <w:spacing w:after="0" w:line="240" w:lineRule="auto"/>
    </w:pPr>
    <w:rPr>
      <w:rFonts w:ascii="Helvetica" w:eastAsia="MS Mincho" w:hAnsi="Helvetica" w:cs="Times New Roman"/>
      <w:noProof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B717D"/>
    <w:pPr>
      <w:ind w:left="720"/>
      <w:contextualSpacing/>
    </w:pPr>
  </w:style>
  <w:style w:type="paragraph" w:styleId="Revision">
    <w:name w:val="Revision"/>
    <w:hidden/>
    <w:uiPriority w:val="99"/>
    <w:semiHidden/>
    <w:rsid w:val="0002393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3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9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9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9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9DE54EB655449B382E8DB7AADB9F6" ma:contentTypeVersion="0" ma:contentTypeDescription="Create a new document." ma:contentTypeScope="" ma:versionID="08c6187a5d6f89be8e28541fc054ec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7B52A-B6E1-4478-B1D7-CB90B7F7CE65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2BA43C-959F-4F59-B7E3-FD068DF8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54EEA2-167B-4D55-A79C-ACDB00AB1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HSC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Shales, Laura</dc:creator>
  <cp:keywords/>
  <dc:description/>
  <cp:lastModifiedBy> </cp:lastModifiedBy>
  <cp:revision>5</cp:revision>
  <cp:lastPrinted>2019-06-04T19:45:00Z</cp:lastPrinted>
  <dcterms:created xsi:type="dcterms:W3CDTF">2026-05-20T15:46:00Z</dcterms:created>
  <dcterms:modified xsi:type="dcterms:W3CDTF">2026-05-20T18:46:00Z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0x01010076E9DE54EB655449B382E8DB7AADB9F6</vt:lpwstr>
  </property>
</Properties>
</file>