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page" w:tblpX="1598" w:tblpY="420"/>
        <w:tblW w:w="888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5"/>
        <w:gridCol w:w="1059"/>
        <w:gridCol w:w="1204"/>
        <w:gridCol w:w="277"/>
        <w:gridCol w:w="1693"/>
        <w:gridCol w:w="2749"/>
      </w:tblGrid>
      <w:tr w:rsidR="00107C53" w14:paraId="19CB9D52" w14:textId="77777777" w:rsidTr="00874C28">
        <w:trPr>
          <w:trHeight w:val="1399"/>
        </w:trPr>
        <w:tc>
          <w:tcPr>
            <w:tcW w:w="8887" w:type="dxa"/>
            <w:gridSpan w:val="6"/>
            <w:tcBorders>
              <w:bottom w:val="nil"/>
            </w:tcBorders>
            <w:shd w:val="solid" w:color="auto" w:fill="auto"/>
          </w:tcPr>
          <w:p w14:paraId="179B525A" w14:textId="77777777" w:rsidR="00107C53" w:rsidRPr="00567D8E" w:rsidRDefault="00107C53" w:rsidP="00874C28">
            <w:pPr>
              <w:spacing w:before="4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7D8E">
              <w:rPr>
                <w:rFonts w:ascii="Tahoma" w:hAnsi="Tahoma" w:cs="Tahoma"/>
                <w:b/>
                <w:bCs/>
                <w:sz w:val="22"/>
                <w:szCs w:val="22"/>
              </w:rPr>
              <w:t>Sunnybrook Health Sciences Centre</w:t>
            </w:r>
            <w:r w:rsidRPr="00567D8E"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  <w:p w14:paraId="3CB31166" w14:textId="77777777" w:rsidR="00107C53" w:rsidRPr="00567D8E" w:rsidRDefault="00107C53" w:rsidP="00874C28">
            <w:pPr>
              <w:pStyle w:val="Heading2"/>
              <w:rPr>
                <w:rFonts w:ascii="Tahoma" w:hAnsi="Tahoma" w:cs="Tahoma"/>
                <w:sz w:val="18"/>
                <w:szCs w:val="18"/>
              </w:rPr>
            </w:pPr>
            <w:r w:rsidRPr="00567D8E">
              <w:rPr>
                <w:rFonts w:ascii="Tahoma" w:hAnsi="Tahoma" w:cs="Tahoma"/>
                <w:sz w:val="18"/>
                <w:szCs w:val="18"/>
              </w:rPr>
              <w:t>Fully Affiliated with the University of Toronto</w:t>
            </w:r>
          </w:p>
          <w:p w14:paraId="3CAF5391" w14:textId="77777777" w:rsidR="00107C53" w:rsidRPr="00567D8E" w:rsidRDefault="00107C53" w:rsidP="00874C28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67D8E">
              <w:rPr>
                <w:rFonts w:ascii="Tahoma" w:hAnsi="Tahoma" w:cs="Tahoma"/>
                <w:b/>
                <w:bCs/>
                <w:sz w:val="18"/>
                <w:szCs w:val="18"/>
              </w:rPr>
              <w:t>Vacancy Exists For:</w:t>
            </w:r>
          </w:p>
          <w:p w14:paraId="2D25AF87" w14:textId="1BE0EC81" w:rsidR="00107C53" w:rsidRPr="00567D8E" w:rsidRDefault="00B7414F" w:rsidP="00874C28">
            <w:pPr>
              <w:pStyle w:val="Heading3"/>
              <w:spacing w:before="20" w:after="120"/>
              <w:rPr>
                <w:rFonts w:ascii="Tahoma" w:hAnsi="Tahoma" w:cs="Tahoma"/>
                <w:sz w:val="22"/>
                <w:szCs w:val="22"/>
              </w:rPr>
            </w:pPr>
            <w:r w:rsidRPr="00567D8E">
              <w:rPr>
                <w:rFonts w:ascii="Tahoma" w:hAnsi="Tahoma" w:cs="Tahoma"/>
                <w:sz w:val="22"/>
                <w:szCs w:val="22"/>
              </w:rPr>
              <w:t>Communications Advisor</w:t>
            </w:r>
            <w:r w:rsidR="00AB42E5">
              <w:rPr>
                <w:rFonts w:ascii="Tahoma" w:hAnsi="Tahoma" w:cs="Tahoma"/>
                <w:sz w:val="22"/>
                <w:szCs w:val="22"/>
              </w:rPr>
              <w:t xml:space="preserve"> (Contract)</w:t>
            </w:r>
            <w:r w:rsidR="00107C53" w:rsidRPr="00567D8E"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</w:tc>
      </w:tr>
      <w:tr w:rsidR="00107C53" w14:paraId="2F1A378A" w14:textId="77777777" w:rsidTr="00874C28">
        <w:trPr>
          <w:trHeight w:val="330"/>
        </w:trPr>
        <w:tc>
          <w:tcPr>
            <w:tcW w:w="1905" w:type="dxa"/>
            <w:tcBorders>
              <w:top w:val="nil"/>
              <w:bottom w:val="nil"/>
              <w:right w:val="nil"/>
            </w:tcBorders>
          </w:tcPr>
          <w:p w14:paraId="335F0D02" w14:textId="77777777" w:rsidR="00107C53" w:rsidRPr="00874C28" w:rsidRDefault="00107C53" w:rsidP="00874C28">
            <w:pPr>
              <w:pStyle w:val="Heading4"/>
              <w:spacing w:before="40" w:after="20"/>
              <w:rPr>
                <w:rFonts w:asciiTheme="minorHAnsi" w:hAnsiTheme="minorHAnsi" w:cstheme="minorHAnsi"/>
                <w:sz w:val="22"/>
                <w:szCs w:val="22"/>
              </w:rPr>
            </w:pPr>
            <w:r w:rsidRPr="00874C28">
              <w:rPr>
                <w:rFonts w:asciiTheme="minorHAnsi" w:hAnsiTheme="minorHAnsi" w:cstheme="minorHAnsi"/>
                <w:sz w:val="22"/>
                <w:szCs w:val="22"/>
              </w:rPr>
              <w:t>Competition #</w:t>
            </w:r>
          </w:p>
        </w:tc>
        <w:tc>
          <w:tcPr>
            <w:tcW w:w="2263" w:type="dxa"/>
            <w:gridSpan w:val="2"/>
            <w:tcBorders>
              <w:top w:val="nil"/>
              <w:left w:val="nil"/>
              <w:right w:val="nil"/>
            </w:tcBorders>
          </w:tcPr>
          <w:p w14:paraId="6082E4BC" w14:textId="2241C47B" w:rsidR="00107C53" w:rsidRPr="00874C28" w:rsidRDefault="00107C53" w:rsidP="00874C28">
            <w:pPr>
              <w:spacing w:before="40" w:after="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7" w:type="dxa"/>
            <w:tcBorders>
              <w:top w:val="nil"/>
              <w:left w:val="nil"/>
              <w:right w:val="nil"/>
            </w:tcBorders>
          </w:tcPr>
          <w:p w14:paraId="188DE66D" w14:textId="77777777" w:rsidR="00107C53" w:rsidRPr="00874C28" w:rsidRDefault="00107C53" w:rsidP="00874C28">
            <w:pPr>
              <w:spacing w:before="40" w:after="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</w:tcPr>
          <w:p w14:paraId="16CDAD2E" w14:textId="77777777" w:rsidR="00107C53" w:rsidRPr="00874C28" w:rsidRDefault="00107C53" w:rsidP="00874C28">
            <w:pPr>
              <w:spacing w:before="40" w:after="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74C2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Location: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6B797F6C" w14:textId="77777777" w:rsidR="00107C53" w:rsidRPr="00874C28" w:rsidRDefault="00107C53" w:rsidP="00874C28">
            <w:pPr>
              <w:spacing w:before="40" w:after="20"/>
              <w:rPr>
                <w:rFonts w:asciiTheme="minorHAnsi" w:hAnsiTheme="minorHAnsi" w:cstheme="minorHAnsi"/>
                <w:sz w:val="22"/>
                <w:szCs w:val="22"/>
              </w:rPr>
            </w:pPr>
            <w:r w:rsidRPr="00874C28">
              <w:rPr>
                <w:rFonts w:asciiTheme="minorHAnsi" w:hAnsiTheme="minorHAnsi" w:cstheme="minorHAnsi"/>
                <w:sz w:val="22"/>
                <w:szCs w:val="22"/>
              </w:rPr>
              <w:t>Sunnybrook</w:t>
            </w:r>
          </w:p>
        </w:tc>
      </w:tr>
      <w:tr w:rsidR="00107C53" w14:paraId="22769DBC" w14:textId="77777777" w:rsidTr="00874C28">
        <w:trPr>
          <w:trHeight w:val="326"/>
        </w:trPr>
        <w:tc>
          <w:tcPr>
            <w:tcW w:w="1905" w:type="dxa"/>
            <w:tcBorders>
              <w:top w:val="nil"/>
              <w:bottom w:val="nil"/>
              <w:right w:val="nil"/>
            </w:tcBorders>
          </w:tcPr>
          <w:p w14:paraId="1BD172CA" w14:textId="77777777" w:rsidR="00107C53" w:rsidRPr="00874C28" w:rsidRDefault="00107C53" w:rsidP="00874C28">
            <w:pPr>
              <w:spacing w:before="40" w:after="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74C2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Classification:</w:t>
            </w:r>
          </w:p>
        </w:tc>
        <w:tc>
          <w:tcPr>
            <w:tcW w:w="2263" w:type="dxa"/>
            <w:gridSpan w:val="2"/>
            <w:tcBorders>
              <w:left w:val="nil"/>
              <w:right w:val="nil"/>
            </w:tcBorders>
          </w:tcPr>
          <w:p w14:paraId="4D2D7810" w14:textId="2121ECDF" w:rsidR="00107C53" w:rsidRPr="00874C28" w:rsidRDefault="00324901" w:rsidP="00874C28">
            <w:pPr>
              <w:spacing w:before="40" w:after="20"/>
              <w:rPr>
                <w:rFonts w:asciiTheme="minorHAnsi" w:hAnsiTheme="minorHAnsi" w:cstheme="minorHAnsi"/>
                <w:sz w:val="22"/>
                <w:szCs w:val="22"/>
              </w:rPr>
            </w:pPr>
            <w:r w:rsidRPr="00874C28">
              <w:rPr>
                <w:rFonts w:asciiTheme="minorHAnsi" w:hAnsiTheme="minorHAnsi" w:cstheme="minorHAnsi"/>
                <w:sz w:val="22"/>
                <w:szCs w:val="22"/>
              </w:rPr>
              <w:t>Temp</w:t>
            </w:r>
            <w:r w:rsidR="0060308E" w:rsidRPr="00874C28">
              <w:rPr>
                <w:rFonts w:asciiTheme="minorHAnsi" w:hAnsiTheme="minorHAnsi" w:cstheme="minorHAnsi"/>
                <w:sz w:val="22"/>
                <w:szCs w:val="22"/>
              </w:rPr>
              <w:t xml:space="preserve"> Full-T</w:t>
            </w:r>
            <w:r w:rsidR="00B7414F" w:rsidRPr="00874C28">
              <w:rPr>
                <w:rFonts w:asciiTheme="minorHAnsi" w:hAnsiTheme="minorHAnsi" w:cstheme="minorHAnsi"/>
                <w:sz w:val="22"/>
                <w:szCs w:val="22"/>
              </w:rPr>
              <w:t>ime</w:t>
            </w:r>
            <w:r w:rsidR="00D5534B" w:rsidRPr="00874C2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77" w:type="dxa"/>
            <w:tcBorders>
              <w:left w:val="nil"/>
              <w:right w:val="nil"/>
            </w:tcBorders>
          </w:tcPr>
          <w:p w14:paraId="6463DEFE" w14:textId="77777777" w:rsidR="00107C53" w:rsidRPr="00874C28" w:rsidRDefault="00107C53" w:rsidP="00874C28">
            <w:pPr>
              <w:spacing w:before="40" w:after="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</w:tcPr>
          <w:p w14:paraId="666EA6AA" w14:textId="77777777" w:rsidR="00107C53" w:rsidRPr="00874C28" w:rsidRDefault="00107C53" w:rsidP="00874C28">
            <w:pPr>
              <w:spacing w:before="40" w:after="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74C2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Department: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DFCB348" w14:textId="462DE0FE" w:rsidR="00107C53" w:rsidRPr="00874C28" w:rsidRDefault="00C53E5F" w:rsidP="00874C28">
            <w:pPr>
              <w:spacing w:before="40" w:after="20"/>
              <w:rPr>
                <w:rFonts w:asciiTheme="minorHAnsi" w:hAnsiTheme="minorHAnsi" w:cstheme="minorHAnsi"/>
                <w:sz w:val="22"/>
                <w:szCs w:val="22"/>
              </w:rPr>
            </w:pPr>
            <w:r w:rsidRPr="00874C28">
              <w:rPr>
                <w:rFonts w:asciiTheme="minorHAnsi" w:hAnsiTheme="minorHAnsi" w:cstheme="minorHAnsi"/>
                <w:sz w:val="22"/>
                <w:szCs w:val="22"/>
              </w:rPr>
              <w:t>Strategic Communications</w:t>
            </w:r>
          </w:p>
        </w:tc>
      </w:tr>
      <w:tr w:rsidR="00107C53" w14:paraId="657B0FCF" w14:textId="77777777" w:rsidTr="00874C28">
        <w:trPr>
          <w:trHeight w:val="406"/>
        </w:trPr>
        <w:tc>
          <w:tcPr>
            <w:tcW w:w="1905" w:type="dxa"/>
            <w:tcBorders>
              <w:top w:val="nil"/>
              <w:bottom w:val="nil"/>
              <w:right w:val="nil"/>
            </w:tcBorders>
          </w:tcPr>
          <w:p w14:paraId="3B8E0133" w14:textId="77777777" w:rsidR="00107C53" w:rsidRPr="00874C28" w:rsidRDefault="00107C53" w:rsidP="00874C28">
            <w:pPr>
              <w:spacing w:before="40" w:after="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74C2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Salary:</w:t>
            </w:r>
          </w:p>
        </w:tc>
        <w:tc>
          <w:tcPr>
            <w:tcW w:w="2263" w:type="dxa"/>
            <w:gridSpan w:val="2"/>
            <w:tcBorders>
              <w:left w:val="nil"/>
              <w:bottom w:val="nil"/>
              <w:right w:val="nil"/>
            </w:tcBorders>
          </w:tcPr>
          <w:p w14:paraId="51D0DB71" w14:textId="43FEB1FB" w:rsidR="00107C53" w:rsidRPr="00874C28" w:rsidRDefault="00F43797" w:rsidP="00874C28">
            <w:pPr>
              <w:spacing w:before="40" w:after="20"/>
              <w:rPr>
                <w:rFonts w:asciiTheme="minorHAnsi" w:hAnsiTheme="minorHAnsi" w:cstheme="minorHAnsi"/>
                <w:sz w:val="22"/>
                <w:szCs w:val="22"/>
              </w:rPr>
            </w:pPr>
            <w:r w:rsidRPr="00874C28">
              <w:rPr>
                <w:rFonts w:asciiTheme="minorHAnsi" w:hAnsiTheme="minorHAnsi" w:cstheme="minorHAnsi"/>
                <w:sz w:val="22"/>
                <w:szCs w:val="22"/>
              </w:rPr>
              <w:t>TBD</w:t>
            </w:r>
          </w:p>
        </w:tc>
        <w:tc>
          <w:tcPr>
            <w:tcW w:w="277" w:type="dxa"/>
            <w:tcBorders>
              <w:left w:val="nil"/>
              <w:bottom w:val="nil"/>
              <w:right w:val="nil"/>
            </w:tcBorders>
          </w:tcPr>
          <w:p w14:paraId="547F56B1" w14:textId="77777777" w:rsidR="00107C53" w:rsidRPr="00874C28" w:rsidRDefault="00107C53" w:rsidP="00874C28">
            <w:pPr>
              <w:spacing w:before="40" w:after="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</w:tcPr>
          <w:p w14:paraId="342D9992" w14:textId="77777777" w:rsidR="00107C53" w:rsidRPr="00874C28" w:rsidRDefault="00107C53" w:rsidP="00874C28">
            <w:pPr>
              <w:spacing w:before="40" w:after="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74C2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Union: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546944A3" w14:textId="77777777" w:rsidR="00107C53" w:rsidRPr="00874C28" w:rsidRDefault="00B7414F" w:rsidP="00874C28">
            <w:pPr>
              <w:spacing w:before="40" w:after="20"/>
              <w:rPr>
                <w:rFonts w:asciiTheme="minorHAnsi" w:hAnsiTheme="minorHAnsi" w:cstheme="minorHAnsi"/>
                <w:sz w:val="22"/>
                <w:szCs w:val="22"/>
              </w:rPr>
            </w:pPr>
            <w:r w:rsidRPr="00874C28">
              <w:rPr>
                <w:rFonts w:asciiTheme="minorHAnsi" w:hAnsiTheme="minorHAnsi" w:cstheme="minorHAnsi"/>
                <w:sz w:val="22"/>
                <w:szCs w:val="22"/>
              </w:rPr>
              <w:t>Non-union</w:t>
            </w:r>
          </w:p>
        </w:tc>
      </w:tr>
      <w:tr w:rsidR="00107C53" w14:paraId="0BD3DB0B" w14:textId="77777777" w:rsidTr="00874C28">
        <w:trPr>
          <w:trHeight w:val="300"/>
        </w:trPr>
        <w:tc>
          <w:tcPr>
            <w:tcW w:w="1905" w:type="dxa"/>
            <w:tcBorders>
              <w:top w:val="nil"/>
              <w:bottom w:val="single" w:sz="8" w:space="0" w:color="auto"/>
              <w:right w:val="nil"/>
            </w:tcBorders>
          </w:tcPr>
          <w:p w14:paraId="3D1A55EF" w14:textId="77777777" w:rsidR="00107C53" w:rsidRPr="00874C28" w:rsidRDefault="00107C53" w:rsidP="00874C28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74C2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Hours of Work:</w:t>
            </w:r>
          </w:p>
        </w:tc>
        <w:tc>
          <w:tcPr>
            <w:tcW w:w="6982" w:type="dxa"/>
            <w:gridSpan w:val="5"/>
            <w:tcBorders>
              <w:top w:val="nil"/>
              <w:left w:val="nil"/>
              <w:bottom w:val="single" w:sz="8" w:space="0" w:color="auto"/>
            </w:tcBorders>
          </w:tcPr>
          <w:p w14:paraId="365F9495" w14:textId="1E179FCB" w:rsidR="00107C53" w:rsidRPr="00874C28" w:rsidRDefault="006B6260" w:rsidP="00874C28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874C2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Monday – Friday, days</w:t>
            </w:r>
          </w:p>
        </w:tc>
      </w:tr>
      <w:tr w:rsidR="00107C53" w14:paraId="28BF0E0D" w14:textId="77777777" w:rsidTr="00874C28">
        <w:trPr>
          <w:trHeight w:val="257"/>
        </w:trPr>
        <w:tc>
          <w:tcPr>
            <w:tcW w:w="8887" w:type="dxa"/>
            <w:gridSpan w:val="6"/>
            <w:tcBorders>
              <w:top w:val="single" w:sz="8" w:space="0" w:color="auto"/>
              <w:bottom w:val="nil"/>
            </w:tcBorders>
          </w:tcPr>
          <w:p w14:paraId="5986F057" w14:textId="77777777" w:rsidR="00107C53" w:rsidRPr="00874C28" w:rsidRDefault="00107C53" w:rsidP="00874C28">
            <w:pPr>
              <w:spacing w:before="40" w:after="20"/>
              <w:rPr>
                <w:rFonts w:asciiTheme="minorHAnsi" w:hAnsiTheme="minorHAnsi" w:cstheme="minorHAnsi"/>
                <w:sz w:val="22"/>
                <w:szCs w:val="22"/>
              </w:rPr>
            </w:pPr>
            <w:r w:rsidRPr="00874C2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Summary of Duties:</w:t>
            </w:r>
          </w:p>
        </w:tc>
      </w:tr>
      <w:tr w:rsidR="00107C53" w14:paraId="5A991E3A" w14:textId="77777777" w:rsidTr="00874C28">
        <w:trPr>
          <w:trHeight w:val="257"/>
        </w:trPr>
        <w:tc>
          <w:tcPr>
            <w:tcW w:w="8887" w:type="dxa"/>
            <w:gridSpan w:val="6"/>
            <w:tcBorders>
              <w:top w:val="nil"/>
              <w:bottom w:val="single" w:sz="8" w:space="0" w:color="auto"/>
            </w:tcBorders>
          </w:tcPr>
          <w:p w14:paraId="448AD766" w14:textId="169C2E0F" w:rsidR="006B6260" w:rsidRPr="00874C28" w:rsidRDefault="006B6260" w:rsidP="00874C28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874C2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Reporting to the </w:t>
            </w:r>
            <w:r w:rsidR="00C35899" w:rsidRPr="00874C2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Manager, Corporate Communications</w:t>
            </w:r>
            <w:r w:rsidRPr="00874C2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, this position is responsible for developing</w:t>
            </w:r>
            <w:r w:rsidR="00C35899" w:rsidRPr="00874C2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and implementing</w:t>
            </w:r>
            <w:r w:rsidRPr="00874C2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r w:rsidR="00432D5F" w:rsidRPr="00874C2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strategic </w:t>
            </w:r>
            <w:r w:rsidR="00C35899" w:rsidRPr="00874C2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internal communication initiatives and campaigns</w:t>
            </w:r>
            <w:r w:rsidR="00E02F87" w:rsidRPr="00874C2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, including managing the redesign and launch of Sunnybrook’s website</w:t>
            </w:r>
            <w:r w:rsidR="00874C2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r w:rsidR="00C35899" w:rsidRPr="00874C2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that support</w:t>
            </w:r>
            <w:r w:rsidR="00874C2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s</w:t>
            </w:r>
            <w:r w:rsidR="00C35899" w:rsidRPr="00874C2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corporate priorities</w:t>
            </w:r>
            <w:r w:rsidR="007850B1" w:rsidRPr="00874C2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,</w:t>
            </w:r>
            <w:r w:rsidR="00C35899" w:rsidRPr="00874C2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as well as inform and </w:t>
            </w:r>
            <w:r w:rsidR="00055D77" w:rsidRPr="00874C2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motivate</w:t>
            </w:r>
            <w:r w:rsidR="00C35899" w:rsidRPr="00874C2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Sunnybrook staff</w:t>
            </w:r>
            <w:r w:rsidR="00FC798C" w:rsidRPr="00874C2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, </w:t>
            </w:r>
            <w:r w:rsidR="00C35899" w:rsidRPr="00874C2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physicians</w:t>
            </w:r>
            <w:r w:rsidR="00FC798C" w:rsidRPr="00874C2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, leaders and learners</w:t>
            </w:r>
            <w:r w:rsidR="007850B1" w:rsidRPr="00874C2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. </w:t>
            </w:r>
          </w:p>
          <w:p w14:paraId="1D763342" w14:textId="77777777" w:rsidR="00107C53" w:rsidRPr="00874C28" w:rsidRDefault="00107C53" w:rsidP="00874C28">
            <w:pPr>
              <w:ind w:left="936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107C53" w14:paraId="3FA9EE13" w14:textId="77777777" w:rsidTr="00874C28">
        <w:trPr>
          <w:trHeight w:val="249"/>
        </w:trPr>
        <w:tc>
          <w:tcPr>
            <w:tcW w:w="8887" w:type="dxa"/>
            <w:gridSpan w:val="6"/>
            <w:tcBorders>
              <w:top w:val="single" w:sz="8" w:space="0" w:color="auto"/>
              <w:bottom w:val="nil"/>
            </w:tcBorders>
          </w:tcPr>
          <w:p w14:paraId="3F297A33" w14:textId="77777777" w:rsidR="00107C53" w:rsidRPr="00874C28" w:rsidRDefault="00107C53" w:rsidP="00874C2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74C2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Qualifications/Skills:</w:t>
            </w:r>
          </w:p>
          <w:p w14:paraId="3541DC48" w14:textId="691D5BA5" w:rsidR="006B6260" w:rsidRPr="00874C28" w:rsidRDefault="006B6260" w:rsidP="00874C28">
            <w:pPr>
              <w:numPr>
                <w:ilvl w:val="0"/>
                <w:numId w:val="8"/>
              </w:numPr>
              <w:tabs>
                <w:tab w:val="clear" w:pos="936"/>
                <w:tab w:val="num" w:pos="216"/>
              </w:tabs>
              <w:ind w:left="216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74C28">
              <w:rPr>
                <w:rFonts w:asciiTheme="minorHAnsi" w:hAnsiTheme="minorHAnsi" w:cstheme="minorHAnsi"/>
                <w:sz w:val="22"/>
                <w:szCs w:val="22"/>
              </w:rPr>
              <w:t>A strategic and creative thinker who can get things done under pressure despite competing demands;</w:t>
            </w:r>
          </w:p>
          <w:p w14:paraId="6A3E2B4E" w14:textId="77777777" w:rsidR="00434E57" w:rsidRPr="00874C28" w:rsidRDefault="00434E57" w:rsidP="00874C28">
            <w:pPr>
              <w:numPr>
                <w:ilvl w:val="0"/>
                <w:numId w:val="8"/>
              </w:numPr>
              <w:tabs>
                <w:tab w:val="clear" w:pos="936"/>
                <w:tab w:val="num" w:pos="216"/>
              </w:tabs>
              <w:ind w:left="216"/>
              <w:rPr>
                <w:rFonts w:asciiTheme="minorHAnsi" w:hAnsiTheme="minorHAnsi" w:cstheme="minorHAnsi"/>
                <w:sz w:val="22"/>
                <w:szCs w:val="22"/>
              </w:rPr>
            </w:pPr>
            <w:r w:rsidRPr="00874C2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Strong ability to write for web and audit web content. Experience with a large web redesign project is an asset.</w:t>
            </w:r>
          </w:p>
          <w:p w14:paraId="78FF93F6" w14:textId="237DD1A6" w:rsidR="00E02F87" w:rsidRPr="00874C28" w:rsidRDefault="00E02F87" w:rsidP="00874C28">
            <w:pPr>
              <w:numPr>
                <w:ilvl w:val="0"/>
                <w:numId w:val="8"/>
              </w:numPr>
              <w:tabs>
                <w:tab w:val="clear" w:pos="936"/>
                <w:tab w:val="num" w:pos="216"/>
              </w:tabs>
              <w:ind w:left="216"/>
              <w:rPr>
                <w:rFonts w:asciiTheme="minorHAnsi" w:hAnsiTheme="minorHAnsi" w:cstheme="minorHAnsi"/>
                <w:sz w:val="22"/>
                <w:szCs w:val="22"/>
              </w:rPr>
            </w:pPr>
            <w:r w:rsidRPr="00874C2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Strong project management and stakeholder relations skills</w:t>
            </w:r>
            <w:r w:rsidR="00874C28" w:rsidRPr="00874C2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.</w:t>
            </w:r>
          </w:p>
          <w:p w14:paraId="3AAC8342" w14:textId="2651ADF2" w:rsidR="006B6260" w:rsidRPr="00874C28" w:rsidRDefault="006B6260" w:rsidP="00874C28">
            <w:pPr>
              <w:numPr>
                <w:ilvl w:val="0"/>
                <w:numId w:val="8"/>
              </w:numPr>
              <w:tabs>
                <w:tab w:val="clear" w:pos="936"/>
                <w:tab w:val="num" w:pos="216"/>
              </w:tabs>
              <w:ind w:left="216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74C28">
              <w:rPr>
                <w:rFonts w:asciiTheme="minorHAnsi" w:hAnsiTheme="minorHAnsi" w:cstheme="minorHAnsi"/>
                <w:sz w:val="22"/>
                <w:szCs w:val="22"/>
              </w:rPr>
              <w:t xml:space="preserve">A track record of success working in a comprehensive communications </w:t>
            </w:r>
            <w:r w:rsidR="00AB42E5" w:rsidRPr="00874C28">
              <w:rPr>
                <w:rFonts w:asciiTheme="minorHAnsi" w:hAnsiTheme="minorHAnsi" w:cstheme="minorHAnsi"/>
                <w:sz w:val="22"/>
                <w:szCs w:val="22"/>
              </w:rPr>
              <w:t xml:space="preserve">department </w:t>
            </w:r>
            <w:r w:rsidRPr="00874C28">
              <w:rPr>
                <w:rFonts w:asciiTheme="minorHAnsi" w:hAnsiTheme="minorHAnsi" w:cstheme="minorHAnsi"/>
                <w:sz w:val="22"/>
                <w:szCs w:val="22"/>
              </w:rPr>
              <w:t>in a highly complex, multi-layered, intel</w:t>
            </w:r>
            <w:r w:rsidRPr="00874C2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</w:t>
            </w:r>
            <w:r w:rsidRPr="00874C28">
              <w:rPr>
                <w:rFonts w:asciiTheme="minorHAnsi" w:hAnsiTheme="minorHAnsi" w:cstheme="minorHAnsi"/>
                <w:sz w:val="22"/>
                <w:szCs w:val="22"/>
              </w:rPr>
              <w:t>ectually charged work environment;</w:t>
            </w:r>
          </w:p>
          <w:p w14:paraId="0734514C" w14:textId="7A05353B" w:rsidR="006B6260" w:rsidRPr="00874C28" w:rsidRDefault="006B6260" w:rsidP="00874C28">
            <w:pPr>
              <w:numPr>
                <w:ilvl w:val="0"/>
                <w:numId w:val="8"/>
              </w:numPr>
              <w:tabs>
                <w:tab w:val="clear" w:pos="936"/>
                <w:tab w:val="num" w:pos="216"/>
              </w:tabs>
              <w:ind w:left="216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74C28">
              <w:rPr>
                <w:rFonts w:asciiTheme="minorHAnsi" w:hAnsiTheme="minorHAnsi" w:cstheme="minorHAnsi"/>
                <w:sz w:val="22"/>
                <w:szCs w:val="22"/>
              </w:rPr>
              <w:t xml:space="preserve">Familiarity with the nonprofit </w:t>
            </w:r>
            <w:r w:rsidR="00055D77" w:rsidRPr="00874C28">
              <w:rPr>
                <w:rFonts w:asciiTheme="minorHAnsi" w:hAnsiTheme="minorHAnsi" w:cstheme="minorHAnsi"/>
                <w:sz w:val="22"/>
                <w:szCs w:val="22"/>
              </w:rPr>
              <w:t xml:space="preserve">and/or healthcare </w:t>
            </w:r>
            <w:r w:rsidRPr="00874C28">
              <w:rPr>
                <w:rFonts w:asciiTheme="minorHAnsi" w:hAnsiTheme="minorHAnsi" w:cstheme="minorHAnsi"/>
                <w:sz w:val="22"/>
                <w:szCs w:val="22"/>
              </w:rPr>
              <w:t xml:space="preserve">sector and </w:t>
            </w:r>
            <w:r w:rsidR="00055D77" w:rsidRPr="00874C28">
              <w:rPr>
                <w:rFonts w:asciiTheme="minorHAnsi" w:hAnsiTheme="minorHAnsi" w:cstheme="minorHAnsi"/>
                <w:sz w:val="22"/>
                <w:szCs w:val="22"/>
              </w:rPr>
              <w:t>ability to build strong relationships and</w:t>
            </w:r>
            <w:r w:rsidR="000420C5" w:rsidRPr="00874C28">
              <w:rPr>
                <w:rFonts w:asciiTheme="minorHAnsi" w:hAnsiTheme="minorHAnsi" w:cstheme="minorHAnsi"/>
                <w:sz w:val="22"/>
                <w:szCs w:val="22"/>
              </w:rPr>
              <w:t xml:space="preserve"> lead communications strategies in collaboration </w:t>
            </w:r>
            <w:r w:rsidR="00055D77" w:rsidRPr="00874C28">
              <w:rPr>
                <w:rFonts w:asciiTheme="minorHAnsi" w:hAnsiTheme="minorHAnsi" w:cstheme="minorHAnsi"/>
                <w:sz w:val="22"/>
                <w:szCs w:val="22"/>
              </w:rPr>
              <w:t xml:space="preserve">with various </w:t>
            </w:r>
            <w:r w:rsidR="00C35899" w:rsidRPr="00874C28">
              <w:rPr>
                <w:rFonts w:asciiTheme="minorHAnsi" w:hAnsiTheme="minorHAnsi" w:cstheme="minorHAnsi"/>
                <w:sz w:val="22"/>
                <w:szCs w:val="22"/>
              </w:rPr>
              <w:t>internal clients</w:t>
            </w:r>
            <w:r w:rsidR="008C6BB4" w:rsidRPr="00874C2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55D77" w:rsidRPr="00874C28">
              <w:rPr>
                <w:rFonts w:asciiTheme="minorHAnsi" w:hAnsiTheme="minorHAnsi" w:cstheme="minorHAnsi"/>
                <w:sz w:val="22"/>
                <w:szCs w:val="22"/>
              </w:rPr>
              <w:t>across departments within the hospital</w:t>
            </w:r>
            <w:r w:rsidRPr="00874C28">
              <w:rPr>
                <w:rFonts w:asciiTheme="minorHAnsi" w:hAnsiTheme="minorHAnsi" w:cstheme="minorHAnsi"/>
                <w:sz w:val="22"/>
                <w:szCs w:val="22"/>
              </w:rPr>
              <w:t xml:space="preserve">; </w:t>
            </w:r>
          </w:p>
          <w:p w14:paraId="7D1F8DAC" w14:textId="77777777" w:rsidR="006B6260" w:rsidRPr="00874C28" w:rsidRDefault="006B6260" w:rsidP="00874C28">
            <w:pPr>
              <w:numPr>
                <w:ilvl w:val="0"/>
                <w:numId w:val="8"/>
              </w:numPr>
              <w:tabs>
                <w:tab w:val="clear" w:pos="936"/>
                <w:tab w:val="num" w:pos="216"/>
              </w:tabs>
              <w:spacing w:before="100" w:beforeAutospacing="1" w:after="100" w:afterAutospacing="1"/>
              <w:ind w:left="216"/>
              <w:rPr>
                <w:rFonts w:asciiTheme="minorHAnsi" w:hAnsiTheme="minorHAnsi" w:cstheme="minorHAnsi"/>
                <w:sz w:val="22"/>
                <w:szCs w:val="22"/>
              </w:rPr>
            </w:pPr>
            <w:r w:rsidRPr="00874C28">
              <w:rPr>
                <w:rFonts w:asciiTheme="minorHAnsi" w:hAnsiTheme="minorHAnsi" w:cstheme="minorHAnsi"/>
                <w:sz w:val="22"/>
                <w:szCs w:val="22"/>
              </w:rPr>
              <w:t xml:space="preserve">University degree in communications, journalism, public relations or related field; </w:t>
            </w:r>
          </w:p>
          <w:p w14:paraId="3E8B011C" w14:textId="60897EB8" w:rsidR="006B6260" w:rsidRPr="00874C28" w:rsidRDefault="006B6260" w:rsidP="00874C28">
            <w:pPr>
              <w:numPr>
                <w:ilvl w:val="0"/>
                <w:numId w:val="8"/>
              </w:numPr>
              <w:tabs>
                <w:tab w:val="clear" w:pos="936"/>
                <w:tab w:val="num" w:pos="216"/>
              </w:tabs>
              <w:ind w:left="216"/>
              <w:rPr>
                <w:rFonts w:asciiTheme="minorHAnsi" w:hAnsiTheme="minorHAnsi" w:cstheme="minorHAnsi"/>
                <w:sz w:val="22"/>
                <w:szCs w:val="22"/>
              </w:rPr>
            </w:pPr>
            <w:r w:rsidRPr="00874C2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Minimum five years’ experience</w:t>
            </w:r>
            <w:r w:rsidR="0060308E" w:rsidRPr="00874C2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in the field of communicati</w:t>
            </w:r>
            <w:r w:rsidR="007850B1" w:rsidRPr="00874C2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ons</w:t>
            </w:r>
            <w:r w:rsidR="008C6BB4" w:rsidRPr="00874C2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;</w:t>
            </w:r>
          </w:p>
          <w:p w14:paraId="474D1677" w14:textId="6854421D" w:rsidR="007850B1" w:rsidRPr="00874C28" w:rsidRDefault="007850B1" w:rsidP="00874C28">
            <w:pPr>
              <w:numPr>
                <w:ilvl w:val="0"/>
                <w:numId w:val="8"/>
              </w:numPr>
              <w:tabs>
                <w:tab w:val="clear" w:pos="936"/>
                <w:tab w:val="num" w:pos="216"/>
              </w:tabs>
              <w:ind w:left="216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74C28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 xml:space="preserve">Demonstrated ability to create and implement </w:t>
            </w:r>
            <w:r w:rsidR="00055D77" w:rsidRPr="00874C28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 xml:space="preserve">strategic </w:t>
            </w:r>
            <w:r w:rsidRPr="00874C28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communications plans;</w:t>
            </w:r>
          </w:p>
          <w:p w14:paraId="3FCF79E0" w14:textId="15CF4A4A" w:rsidR="00C35899" w:rsidRPr="00874C28" w:rsidRDefault="00055D77" w:rsidP="00874C28">
            <w:pPr>
              <w:numPr>
                <w:ilvl w:val="0"/>
                <w:numId w:val="8"/>
              </w:numPr>
              <w:tabs>
                <w:tab w:val="clear" w:pos="936"/>
                <w:tab w:val="num" w:pos="216"/>
              </w:tabs>
              <w:ind w:left="216"/>
              <w:rPr>
                <w:rFonts w:asciiTheme="minorHAnsi" w:hAnsiTheme="minorHAnsi" w:cstheme="minorHAnsi"/>
                <w:sz w:val="22"/>
                <w:szCs w:val="22"/>
              </w:rPr>
            </w:pPr>
            <w:r w:rsidRPr="00874C28">
              <w:rPr>
                <w:rFonts w:asciiTheme="minorHAnsi" w:hAnsiTheme="minorHAnsi" w:cstheme="minorHAnsi"/>
                <w:sz w:val="22"/>
                <w:szCs w:val="22"/>
              </w:rPr>
              <w:t xml:space="preserve">Familiarity </w:t>
            </w:r>
            <w:r w:rsidR="007850B1" w:rsidRPr="00874C28">
              <w:rPr>
                <w:rFonts w:asciiTheme="minorHAnsi" w:hAnsiTheme="minorHAnsi" w:cstheme="minorHAnsi"/>
                <w:sz w:val="22"/>
                <w:szCs w:val="22"/>
              </w:rPr>
              <w:t xml:space="preserve">with </w:t>
            </w:r>
            <w:r w:rsidRPr="00874C28">
              <w:rPr>
                <w:rFonts w:asciiTheme="minorHAnsi" w:hAnsiTheme="minorHAnsi" w:cstheme="minorHAnsi"/>
                <w:sz w:val="22"/>
                <w:szCs w:val="22"/>
              </w:rPr>
              <w:t xml:space="preserve">communication tools and technologies, including email platforms, </w:t>
            </w:r>
            <w:r w:rsidR="007850B1" w:rsidRPr="00874C28">
              <w:rPr>
                <w:rFonts w:asciiTheme="minorHAnsi" w:hAnsiTheme="minorHAnsi" w:cstheme="minorHAnsi"/>
                <w:sz w:val="22"/>
                <w:szCs w:val="22"/>
              </w:rPr>
              <w:t xml:space="preserve">content management systems, </w:t>
            </w:r>
            <w:r w:rsidRPr="00874C28">
              <w:rPr>
                <w:rFonts w:asciiTheme="minorHAnsi" w:hAnsiTheme="minorHAnsi" w:cstheme="minorHAnsi"/>
                <w:sz w:val="22"/>
                <w:szCs w:val="22"/>
              </w:rPr>
              <w:t xml:space="preserve">and </w:t>
            </w:r>
            <w:r w:rsidR="00FC798C" w:rsidRPr="00874C28">
              <w:rPr>
                <w:rFonts w:asciiTheme="minorHAnsi" w:hAnsiTheme="minorHAnsi" w:cstheme="minorHAnsi"/>
                <w:sz w:val="22"/>
                <w:szCs w:val="22"/>
              </w:rPr>
              <w:t xml:space="preserve">basic </w:t>
            </w:r>
            <w:r w:rsidR="007850B1" w:rsidRPr="00874C28">
              <w:rPr>
                <w:rFonts w:asciiTheme="minorHAnsi" w:hAnsiTheme="minorHAnsi" w:cstheme="minorHAnsi"/>
                <w:sz w:val="22"/>
                <w:szCs w:val="22"/>
              </w:rPr>
              <w:t>graphic design tools (</w:t>
            </w:r>
            <w:r w:rsidR="00FC798C" w:rsidRPr="00874C28">
              <w:rPr>
                <w:rFonts w:asciiTheme="minorHAnsi" w:hAnsiTheme="minorHAnsi" w:cstheme="minorHAnsi"/>
                <w:sz w:val="22"/>
                <w:szCs w:val="22"/>
              </w:rPr>
              <w:t>e.g.</w:t>
            </w:r>
            <w:r w:rsidR="007850B1" w:rsidRPr="00874C28">
              <w:rPr>
                <w:rFonts w:asciiTheme="minorHAnsi" w:hAnsiTheme="minorHAnsi" w:cstheme="minorHAnsi"/>
                <w:sz w:val="22"/>
                <w:szCs w:val="22"/>
              </w:rPr>
              <w:t xml:space="preserve"> Canva</w:t>
            </w:r>
            <w:r w:rsidR="00432D5F" w:rsidRPr="00874C28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0820066C" w14:textId="7686281B" w:rsidR="00A121DA" w:rsidRPr="00874C28" w:rsidRDefault="00A121DA" w:rsidP="00874C28">
            <w:pPr>
              <w:numPr>
                <w:ilvl w:val="0"/>
                <w:numId w:val="8"/>
              </w:numPr>
              <w:tabs>
                <w:tab w:val="clear" w:pos="936"/>
                <w:tab w:val="num" w:pos="216"/>
              </w:tabs>
              <w:ind w:left="216"/>
              <w:rPr>
                <w:rFonts w:asciiTheme="minorHAnsi" w:hAnsiTheme="minorHAnsi" w:cstheme="minorHAnsi"/>
                <w:sz w:val="22"/>
                <w:szCs w:val="22"/>
              </w:rPr>
            </w:pPr>
            <w:r w:rsidRPr="00874C28">
              <w:rPr>
                <w:rFonts w:asciiTheme="minorHAnsi" w:hAnsiTheme="minorHAnsi" w:cstheme="minorHAnsi"/>
                <w:sz w:val="22"/>
                <w:szCs w:val="22"/>
              </w:rPr>
              <w:t xml:space="preserve">Ability to develop creative and engaging content that captures the attention of internal audiences; </w:t>
            </w:r>
          </w:p>
          <w:p w14:paraId="1AD8448F" w14:textId="2BF5A0E4" w:rsidR="006B6260" w:rsidRPr="00874C28" w:rsidRDefault="006B6260" w:rsidP="00874C28">
            <w:pPr>
              <w:numPr>
                <w:ilvl w:val="0"/>
                <w:numId w:val="8"/>
              </w:numPr>
              <w:tabs>
                <w:tab w:val="clear" w:pos="936"/>
                <w:tab w:val="num" w:pos="216"/>
              </w:tabs>
              <w:ind w:left="216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74C28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Excellent writing, editing and public speaking skill</w:t>
            </w:r>
            <w:r w:rsidR="00432D5F" w:rsidRPr="00874C28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s;</w:t>
            </w:r>
          </w:p>
          <w:p w14:paraId="771C5465" w14:textId="40BEE552" w:rsidR="007850B1" w:rsidRPr="00874C28" w:rsidRDefault="007850B1" w:rsidP="00874C28">
            <w:pPr>
              <w:numPr>
                <w:ilvl w:val="0"/>
                <w:numId w:val="8"/>
              </w:numPr>
              <w:tabs>
                <w:tab w:val="clear" w:pos="936"/>
                <w:tab w:val="num" w:pos="216"/>
              </w:tabs>
              <w:ind w:left="216"/>
              <w:rPr>
                <w:rFonts w:asciiTheme="minorHAnsi" w:hAnsiTheme="minorHAnsi" w:cstheme="minorHAnsi"/>
                <w:sz w:val="22"/>
                <w:szCs w:val="22"/>
              </w:rPr>
            </w:pPr>
            <w:r w:rsidRPr="00874C28">
              <w:rPr>
                <w:rFonts w:asciiTheme="minorHAnsi" w:hAnsiTheme="minorHAnsi" w:cstheme="minorHAnsi"/>
                <w:sz w:val="22"/>
                <w:szCs w:val="22"/>
              </w:rPr>
              <w:t>Experience with special events planning and coordination</w:t>
            </w:r>
            <w:r w:rsidR="008C6BB4" w:rsidRPr="00874C28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1AB3C3DC" w14:textId="709ECAB5" w:rsidR="008C6BB4" w:rsidRPr="00874C28" w:rsidRDefault="008C6BB4" w:rsidP="00874C28">
            <w:pPr>
              <w:numPr>
                <w:ilvl w:val="0"/>
                <w:numId w:val="8"/>
              </w:numPr>
              <w:tabs>
                <w:tab w:val="clear" w:pos="936"/>
                <w:tab w:val="num" w:pos="216"/>
              </w:tabs>
              <w:ind w:left="216"/>
              <w:rPr>
                <w:rFonts w:asciiTheme="minorHAnsi" w:hAnsiTheme="minorHAnsi" w:cstheme="minorHAnsi"/>
                <w:sz w:val="22"/>
                <w:szCs w:val="22"/>
              </w:rPr>
            </w:pPr>
            <w:r w:rsidRPr="00874C28">
              <w:rPr>
                <w:rFonts w:asciiTheme="minorHAnsi" w:hAnsiTheme="minorHAnsi" w:cstheme="minorHAnsi"/>
                <w:sz w:val="22"/>
                <w:szCs w:val="22"/>
              </w:rPr>
              <w:t>Knowledge of traditional and social media platforms to support public relations objectives;</w:t>
            </w:r>
          </w:p>
          <w:p w14:paraId="5AABD7DC" w14:textId="3A244C45" w:rsidR="00FC798C" w:rsidRPr="00874C28" w:rsidRDefault="00FC798C" w:rsidP="00874C28">
            <w:pPr>
              <w:numPr>
                <w:ilvl w:val="0"/>
                <w:numId w:val="8"/>
              </w:numPr>
              <w:tabs>
                <w:tab w:val="clear" w:pos="936"/>
                <w:tab w:val="num" w:pos="216"/>
              </w:tabs>
              <w:ind w:left="216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74C28">
              <w:rPr>
                <w:rFonts w:asciiTheme="minorHAnsi" w:hAnsiTheme="minorHAnsi" w:cstheme="minorHAnsi"/>
                <w:sz w:val="22"/>
                <w:szCs w:val="22"/>
              </w:rPr>
              <w:t>Experience with issues and crisis communications</w:t>
            </w:r>
            <w:r w:rsidR="004026B5" w:rsidRPr="00874C28">
              <w:rPr>
                <w:rFonts w:asciiTheme="minorHAnsi" w:hAnsiTheme="minorHAnsi" w:cstheme="minorHAnsi"/>
                <w:sz w:val="22"/>
                <w:szCs w:val="22"/>
              </w:rPr>
              <w:t>, and ability to handle sensitive communication situations with tact and professionalism;</w:t>
            </w:r>
          </w:p>
          <w:p w14:paraId="601E2E5D" w14:textId="6526BA4E" w:rsidR="007850B1" w:rsidRPr="00874C28" w:rsidRDefault="006B6260" w:rsidP="00874C28">
            <w:pPr>
              <w:numPr>
                <w:ilvl w:val="0"/>
                <w:numId w:val="8"/>
              </w:numPr>
              <w:tabs>
                <w:tab w:val="clear" w:pos="936"/>
                <w:tab w:val="num" w:pos="216"/>
              </w:tabs>
              <w:ind w:left="216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74C2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Ability to maintain a positive, flexible and responsive attitude, professional image and team-oriented style; </w:t>
            </w:r>
          </w:p>
          <w:p w14:paraId="1860AB3C" w14:textId="268AF10F" w:rsidR="006B6260" w:rsidRPr="00874C28" w:rsidRDefault="0060308E" w:rsidP="00874C28">
            <w:pPr>
              <w:numPr>
                <w:ilvl w:val="0"/>
                <w:numId w:val="8"/>
              </w:numPr>
              <w:tabs>
                <w:tab w:val="clear" w:pos="936"/>
                <w:tab w:val="num" w:pos="216"/>
              </w:tabs>
              <w:ind w:left="216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74C28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Demonstrated ability to work</w:t>
            </w:r>
            <w:r w:rsidR="006B6260" w:rsidRPr="00874C28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 xml:space="preserve"> both as a team member and </w:t>
            </w:r>
            <w:r w:rsidR="00AB42E5" w:rsidRPr="00874C28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independently</w:t>
            </w:r>
            <w:r w:rsidR="006B6260" w:rsidRPr="00874C28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 xml:space="preserve"> with minimal supervision;</w:t>
            </w:r>
          </w:p>
          <w:p w14:paraId="4F95C99B" w14:textId="77777777" w:rsidR="006B6260" w:rsidRPr="00874C28" w:rsidRDefault="006B6260" w:rsidP="00874C28">
            <w:pPr>
              <w:numPr>
                <w:ilvl w:val="0"/>
                <w:numId w:val="8"/>
              </w:numPr>
              <w:tabs>
                <w:tab w:val="clear" w:pos="936"/>
                <w:tab w:val="num" w:pos="216"/>
              </w:tabs>
              <w:ind w:left="216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74C2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Self-starter and creative problem solver who is able to generate significant results using limited resources;</w:t>
            </w:r>
          </w:p>
          <w:p w14:paraId="4064161D" w14:textId="77777777" w:rsidR="006B6260" w:rsidRPr="00874C28" w:rsidRDefault="006B6260" w:rsidP="00874C28">
            <w:pPr>
              <w:numPr>
                <w:ilvl w:val="0"/>
                <w:numId w:val="8"/>
              </w:numPr>
              <w:tabs>
                <w:tab w:val="clear" w:pos="936"/>
                <w:tab w:val="num" w:pos="216"/>
              </w:tabs>
              <w:ind w:left="216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74C2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Strong time-management skills with the ability to prioritize multiple projects in a fast-paced environment;</w:t>
            </w:r>
          </w:p>
          <w:p w14:paraId="5A350912" w14:textId="24B05F66" w:rsidR="00567D8E" w:rsidRPr="00874C28" w:rsidRDefault="006B6260" w:rsidP="00874C28">
            <w:pPr>
              <w:numPr>
                <w:ilvl w:val="0"/>
                <w:numId w:val="8"/>
              </w:numPr>
              <w:tabs>
                <w:tab w:val="clear" w:pos="936"/>
                <w:tab w:val="num" w:pos="216"/>
              </w:tabs>
              <w:ind w:left="216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74C28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Flexibility to work weekends and evenings when necessary</w:t>
            </w:r>
            <w:r w:rsidR="007207D0" w:rsidRPr="00874C28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, including shared rotational on-call responsibilities</w:t>
            </w:r>
            <w:r w:rsidRPr="00874C28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;</w:t>
            </w:r>
          </w:p>
        </w:tc>
      </w:tr>
      <w:tr w:rsidR="00107C53" w14:paraId="4975FB28" w14:textId="77777777" w:rsidTr="00874C28">
        <w:trPr>
          <w:trHeight w:val="248"/>
        </w:trPr>
        <w:tc>
          <w:tcPr>
            <w:tcW w:w="8887" w:type="dxa"/>
            <w:gridSpan w:val="6"/>
            <w:tcBorders>
              <w:top w:val="nil"/>
              <w:bottom w:val="single" w:sz="8" w:space="0" w:color="auto"/>
            </w:tcBorders>
          </w:tcPr>
          <w:p w14:paraId="751F3660" w14:textId="77777777" w:rsidR="00107C53" w:rsidRPr="00874C28" w:rsidRDefault="00107C53" w:rsidP="00874C2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107C53" w14:paraId="454220F9" w14:textId="77777777" w:rsidTr="00874C28">
        <w:trPr>
          <w:trHeight w:val="300"/>
        </w:trPr>
        <w:tc>
          <w:tcPr>
            <w:tcW w:w="2964" w:type="dxa"/>
            <w:gridSpan w:val="2"/>
            <w:tcBorders>
              <w:top w:val="single" w:sz="8" w:space="0" w:color="auto"/>
              <w:bottom w:val="nil"/>
              <w:right w:val="nil"/>
            </w:tcBorders>
          </w:tcPr>
          <w:p w14:paraId="4E311827" w14:textId="77777777" w:rsidR="00107C53" w:rsidRPr="00874C28" w:rsidRDefault="00107C53" w:rsidP="00874C28">
            <w:pPr>
              <w:tabs>
                <w:tab w:val="left" w:pos="1577"/>
              </w:tabs>
              <w:spacing w:before="4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74C2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Date Posted:</w:t>
            </w:r>
            <w:r w:rsidRPr="00874C2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ab/>
            </w:r>
          </w:p>
        </w:tc>
        <w:tc>
          <w:tcPr>
            <w:tcW w:w="5923" w:type="dxa"/>
            <w:gridSpan w:val="4"/>
            <w:tcBorders>
              <w:top w:val="single" w:sz="8" w:space="0" w:color="auto"/>
              <w:left w:val="nil"/>
              <w:bottom w:val="nil"/>
            </w:tcBorders>
          </w:tcPr>
          <w:p w14:paraId="4C787C37" w14:textId="44292C1C" w:rsidR="00107C53" w:rsidRPr="00874C28" w:rsidRDefault="00874C28" w:rsidP="00874C28">
            <w:pPr>
              <w:spacing w:before="20"/>
              <w:rPr>
                <w:rFonts w:asciiTheme="minorHAnsi" w:hAnsiTheme="minorHAnsi" w:cstheme="minorHAnsi"/>
                <w:sz w:val="22"/>
                <w:szCs w:val="22"/>
              </w:rPr>
            </w:pPr>
            <w:r w:rsidRPr="00874C28">
              <w:rPr>
                <w:rFonts w:asciiTheme="minorHAnsi" w:hAnsiTheme="minorHAnsi" w:cstheme="minorHAnsi"/>
                <w:sz w:val="22"/>
                <w:szCs w:val="22"/>
              </w:rPr>
              <w:t xml:space="preserve">April </w:t>
            </w:r>
            <w:r w:rsidR="00487024" w:rsidRPr="00874C28">
              <w:rPr>
                <w:rFonts w:asciiTheme="minorHAnsi" w:hAnsiTheme="minorHAnsi" w:cstheme="minorHAnsi"/>
                <w:sz w:val="22"/>
                <w:szCs w:val="22"/>
              </w:rPr>
              <w:t>202</w:t>
            </w:r>
            <w:r w:rsidR="00BD6142" w:rsidRPr="00874C28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</w:tr>
      <w:tr w:rsidR="00107C53" w14:paraId="3D3616FF" w14:textId="77777777" w:rsidTr="00874C28">
        <w:trPr>
          <w:trHeight w:val="300"/>
        </w:trPr>
        <w:tc>
          <w:tcPr>
            <w:tcW w:w="2964" w:type="dxa"/>
            <w:gridSpan w:val="2"/>
            <w:tcBorders>
              <w:top w:val="nil"/>
              <w:bottom w:val="single" w:sz="8" w:space="0" w:color="auto"/>
              <w:right w:val="nil"/>
            </w:tcBorders>
          </w:tcPr>
          <w:p w14:paraId="14F7C5E1" w14:textId="77777777" w:rsidR="00107C53" w:rsidRPr="00874C28" w:rsidRDefault="00107C53" w:rsidP="00874C28">
            <w:pPr>
              <w:spacing w:before="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74C2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Last Day for Application:</w:t>
            </w:r>
          </w:p>
        </w:tc>
        <w:tc>
          <w:tcPr>
            <w:tcW w:w="5923" w:type="dxa"/>
            <w:gridSpan w:val="4"/>
            <w:tcBorders>
              <w:top w:val="nil"/>
              <w:left w:val="nil"/>
              <w:bottom w:val="single" w:sz="8" w:space="0" w:color="auto"/>
            </w:tcBorders>
          </w:tcPr>
          <w:p w14:paraId="006EFEEA" w14:textId="5755EA9D" w:rsidR="00107C53" w:rsidRPr="00874C28" w:rsidRDefault="00874C28" w:rsidP="00874C28">
            <w:pPr>
              <w:spacing w:before="20"/>
              <w:rPr>
                <w:rFonts w:asciiTheme="minorHAnsi" w:hAnsiTheme="minorHAnsi" w:cstheme="minorHAnsi"/>
                <w:sz w:val="22"/>
                <w:szCs w:val="22"/>
              </w:rPr>
            </w:pPr>
            <w:r w:rsidRPr="00874C28">
              <w:rPr>
                <w:rFonts w:asciiTheme="minorHAnsi" w:hAnsiTheme="minorHAnsi" w:cstheme="minorHAnsi"/>
                <w:sz w:val="22"/>
                <w:szCs w:val="22"/>
              </w:rPr>
              <w:t>April 2025</w:t>
            </w:r>
          </w:p>
        </w:tc>
      </w:tr>
      <w:tr w:rsidR="00107C53" w14:paraId="7973736F" w14:textId="77777777" w:rsidTr="00874C28">
        <w:trPr>
          <w:trHeight w:val="928"/>
        </w:trPr>
        <w:tc>
          <w:tcPr>
            <w:tcW w:w="8887" w:type="dxa"/>
            <w:gridSpan w:val="6"/>
            <w:tcBorders>
              <w:top w:val="single" w:sz="8" w:space="0" w:color="auto"/>
              <w:bottom w:val="single" w:sz="18" w:space="0" w:color="auto"/>
            </w:tcBorders>
            <w:shd w:val="pct5" w:color="auto" w:fill="auto"/>
          </w:tcPr>
          <w:p w14:paraId="5F1D131F" w14:textId="77777777" w:rsidR="00107C53" w:rsidRPr="00874C28" w:rsidRDefault="00107C53" w:rsidP="00874C28">
            <w:pPr>
              <w:spacing w:before="20" w:after="40"/>
              <w:ind w:left="72" w:right="72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74C2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Qualified Applicants must submit both an </w:t>
            </w:r>
            <w:r w:rsidRPr="00874C28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Internal Application/Transfer Form</w:t>
            </w:r>
            <w:r w:rsidRPr="00874C2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and current </w:t>
            </w:r>
            <w:r w:rsidRPr="00874C28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Resume</w:t>
            </w:r>
            <w:r w:rsidRPr="00874C2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to the Human Resources Department at their campus. Only applicants who have the required qualifications and demonstrated satisfactory job performance and attendance will be given consideration for an interview.</w:t>
            </w:r>
          </w:p>
        </w:tc>
      </w:tr>
    </w:tbl>
    <w:p w14:paraId="5D206E18" w14:textId="77777777" w:rsidR="00107C53" w:rsidRDefault="00107C53" w:rsidP="004C6B72">
      <w:pPr>
        <w:tabs>
          <w:tab w:val="left" w:pos="5865"/>
        </w:tabs>
        <w:spacing w:before="20"/>
        <w:rPr>
          <w:rFonts w:ascii="Tahoma" w:hAnsi="Tahoma" w:cs="Tahoma"/>
          <w:sz w:val="20"/>
        </w:rPr>
      </w:pPr>
      <w:bookmarkStart w:id="0" w:name="_GoBack"/>
      <w:bookmarkEnd w:id="0"/>
    </w:p>
    <w:sectPr w:rsidR="00107C53" w:rsidSect="00874C28">
      <w:pgSz w:w="12240" w:h="20160" w:code="5"/>
      <w:pgMar w:top="432" w:right="1440" w:bottom="1440" w:left="245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7E20EF4B" w16cex:dateUtc="2025-03-28T13:41:00Z"/>
  <w16cex:commentExtensible w16cex:durableId="2E84BF6D" w16cex:dateUtc="2025-03-28T13:42:00Z"/>
  <w16cex:commentExtensible w16cex:durableId="67A2FE41" w16cex:dateUtc="2025-03-28T13:1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47742EC" w16cid:durableId="7E20EF4B"/>
  <w16cid:commentId w16cid:paraId="58F5F26E" w16cid:durableId="2E84BF6D"/>
  <w16cid:commentId w16cid:paraId="619A3A4F" w16cid:durableId="67A2FE41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86902"/>
    <w:multiLevelType w:val="hybridMultilevel"/>
    <w:tmpl w:val="1E946608"/>
    <w:lvl w:ilvl="0" w:tplc="7776761E">
      <w:start w:val="1"/>
      <w:numFmt w:val="bullet"/>
      <w:lvlText w:val=""/>
      <w:lvlJc w:val="left"/>
      <w:pPr>
        <w:tabs>
          <w:tab w:val="num" w:pos="936"/>
        </w:tabs>
        <w:ind w:left="936" w:hanging="216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9E65F5"/>
    <w:multiLevelType w:val="hybridMultilevel"/>
    <w:tmpl w:val="8B7A2B98"/>
    <w:lvl w:ilvl="0" w:tplc="04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750EF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9100D88"/>
    <w:multiLevelType w:val="hybridMultilevel"/>
    <w:tmpl w:val="BF360F64"/>
    <w:lvl w:ilvl="0" w:tplc="7776761E">
      <w:start w:val="1"/>
      <w:numFmt w:val="bullet"/>
      <w:lvlText w:val=""/>
      <w:lvlJc w:val="left"/>
      <w:pPr>
        <w:tabs>
          <w:tab w:val="num" w:pos="936"/>
        </w:tabs>
        <w:ind w:left="936" w:hanging="216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024367B"/>
    <w:multiLevelType w:val="singleLevel"/>
    <w:tmpl w:val="89841A5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57C4520B"/>
    <w:multiLevelType w:val="hybridMultilevel"/>
    <w:tmpl w:val="872E7C7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710F05"/>
    <w:multiLevelType w:val="singleLevel"/>
    <w:tmpl w:val="89841A5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7" w15:restartNumberingAfterBreak="0">
    <w:nsid w:val="7EFA09A7"/>
    <w:multiLevelType w:val="hybridMultilevel"/>
    <w:tmpl w:val="05643E82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4"/>
  </w:num>
  <w:num w:numId="5">
    <w:abstractNumId w:val="2"/>
  </w:num>
  <w:num w:numId="6">
    <w:abstractNumId w:val="3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8BD"/>
    <w:rsid w:val="00020C8F"/>
    <w:rsid w:val="000420C5"/>
    <w:rsid w:val="00055D77"/>
    <w:rsid w:val="000A6497"/>
    <w:rsid w:val="000F5C82"/>
    <w:rsid w:val="00107C53"/>
    <w:rsid w:val="00194098"/>
    <w:rsid w:val="00233B0C"/>
    <w:rsid w:val="002D62D6"/>
    <w:rsid w:val="00324901"/>
    <w:rsid w:val="003E28DD"/>
    <w:rsid w:val="004026B5"/>
    <w:rsid w:val="00432D5F"/>
    <w:rsid w:val="00432F9D"/>
    <w:rsid w:val="00434E57"/>
    <w:rsid w:val="00487024"/>
    <w:rsid w:val="00490A3F"/>
    <w:rsid w:val="004C6B72"/>
    <w:rsid w:val="004D3F1C"/>
    <w:rsid w:val="00567D8E"/>
    <w:rsid w:val="0060308E"/>
    <w:rsid w:val="00681003"/>
    <w:rsid w:val="006B5007"/>
    <w:rsid w:val="006B6260"/>
    <w:rsid w:val="006C332E"/>
    <w:rsid w:val="006D75BA"/>
    <w:rsid w:val="006F6DF3"/>
    <w:rsid w:val="007207D0"/>
    <w:rsid w:val="00757AA6"/>
    <w:rsid w:val="007850B1"/>
    <w:rsid w:val="007A2A45"/>
    <w:rsid w:val="007D1D2B"/>
    <w:rsid w:val="007D5B99"/>
    <w:rsid w:val="008468BD"/>
    <w:rsid w:val="00874C28"/>
    <w:rsid w:val="008C6BB4"/>
    <w:rsid w:val="008C7ABD"/>
    <w:rsid w:val="009548BC"/>
    <w:rsid w:val="0096257C"/>
    <w:rsid w:val="00A121DA"/>
    <w:rsid w:val="00AB42E5"/>
    <w:rsid w:val="00B7414F"/>
    <w:rsid w:val="00B77BF6"/>
    <w:rsid w:val="00BD6142"/>
    <w:rsid w:val="00BF2336"/>
    <w:rsid w:val="00C11B1C"/>
    <w:rsid w:val="00C35899"/>
    <w:rsid w:val="00C53E5F"/>
    <w:rsid w:val="00C67B55"/>
    <w:rsid w:val="00C736D6"/>
    <w:rsid w:val="00CF1091"/>
    <w:rsid w:val="00D5534B"/>
    <w:rsid w:val="00D9181D"/>
    <w:rsid w:val="00E02F87"/>
    <w:rsid w:val="00E5551F"/>
    <w:rsid w:val="00F43797"/>
    <w:rsid w:val="00FC54CF"/>
    <w:rsid w:val="00FC798C"/>
    <w:rsid w:val="00FE4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B04E34"/>
  <w15:docId w15:val="{C134F549-36F4-4DCE-AE5E-723E5C460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62D6"/>
    <w:rPr>
      <w:sz w:val="24"/>
      <w:szCs w:val="24"/>
    </w:rPr>
  </w:style>
  <w:style w:type="paragraph" w:styleId="Heading1">
    <w:name w:val="heading 1"/>
    <w:basedOn w:val="Normal"/>
    <w:next w:val="Normal"/>
    <w:qFormat/>
    <w:rsid w:val="002D62D6"/>
    <w:pPr>
      <w:keepNext/>
      <w:spacing w:before="40" w:after="20"/>
      <w:jc w:val="center"/>
      <w:outlineLvl w:val="0"/>
    </w:pPr>
    <w:rPr>
      <w:rFonts w:ascii="Lucida Sans Unicode" w:hAnsi="Lucida Sans Unicode" w:cs="Lucida Sans Unicode"/>
      <w:sz w:val="20"/>
      <w:u w:val="single"/>
    </w:rPr>
  </w:style>
  <w:style w:type="paragraph" w:styleId="Heading2">
    <w:name w:val="heading 2"/>
    <w:basedOn w:val="Normal"/>
    <w:next w:val="Normal"/>
    <w:qFormat/>
    <w:rsid w:val="002D62D6"/>
    <w:pPr>
      <w:keepNext/>
      <w:jc w:val="center"/>
      <w:outlineLvl w:val="1"/>
    </w:pPr>
    <w:rPr>
      <w:rFonts w:ascii="Lucida Sans Unicode" w:hAnsi="Lucida Sans Unicode" w:cs="Lucida Sans Unicode"/>
      <w:u w:val="single"/>
    </w:rPr>
  </w:style>
  <w:style w:type="paragraph" w:styleId="Heading3">
    <w:name w:val="heading 3"/>
    <w:basedOn w:val="Normal"/>
    <w:next w:val="Normal"/>
    <w:qFormat/>
    <w:rsid w:val="002D62D6"/>
    <w:pPr>
      <w:keepNext/>
      <w:jc w:val="center"/>
      <w:outlineLvl w:val="2"/>
    </w:pPr>
    <w:rPr>
      <w:rFonts w:ascii="Lucida Sans Unicode" w:hAnsi="Lucida Sans Unicode" w:cs="Lucida Sans Unicode"/>
      <w:b/>
      <w:bCs/>
    </w:rPr>
  </w:style>
  <w:style w:type="paragraph" w:styleId="Heading4">
    <w:name w:val="heading 4"/>
    <w:basedOn w:val="Normal"/>
    <w:next w:val="Normal"/>
    <w:qFormat/>
    <w:rsid w:val="002D62D6"/>
    <w:pPr>
      <w:keepNext/>
      <w:spacing w:before="20"/>
      <w:outlineLvl w:val="3"/>
    </w:pPr>
    <w:rPr>
      <w:rFonts w:ascii="Lucida Sans Unicode" w:hAnsi="Lucida Sans Unicode" w:cs="Lucida Sans Unicode"/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567D8E"/>
    <w:rPr>
      <w:rFonts w:cs="Times New Roman"/>
      <w:color w:val="0000FF"/>
      <w:u w:val="single"/>
    </w:rPr>
  </w:style>
  <w:style w:type="paragraph" w:styleId="Revision">
    <w:name w:val="Revision"/>
    <w:hidden/>
    <w:uiPriority w:val="99"/>
    <w:semiHidden/>
    <w:rsid w:val="00C35899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7207D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207D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207D0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207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207D0"/>
    <w:rPr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B77BF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77B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Sunnybrook Health Science Centre</vt:lpstr>
    </vt:vector>
  </TitlesOfParts>
  <Company>S&amp;WCHSC</Company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Sunnybrook Health Science Centre</dc:title>
  <dc:subject/>
  <dc:creator>AHascal</dc:creator>
  <cp:keywords/>
  <dc:description/>
  <cp:lastModifiedBy>Edwards, Precilla</cp:lastModifiedBy>
  <cp:revision>3</cp:revision>
  <cp:lastPrinted>2007-07-05T23:11:00Z</cp:lastPrinted>
  <dcterms:created xsi:type="dcterms:W3CDTF">2025-04-02T19:01:00Z</dcterms:created>
  <dcterms:modified xsi:type="dcterms:W3CDTF">2025-04-02T19:05:00Z</dcterms:modified>
</cp:coreProperties>
</file>