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290" w:type="dxa"/>
        <w:tblInd w:w="-972" w:type="dxa"/>
        <w:tblLook w:val="04A0" w:firstRow="1" w:lastRow="0" w:firstColumn="1" w:lastColumn="0" w:noHBand="0" w:noVBand="1"/>
      </w:tblPr>
      <w:tblGrid>
        <w:gridCol w:w="7290"/>
      </w:tblGrid>
      <w:tr w:rsidR="00E3114E" w14:paraId="61B8BC40" w14:textId="77777777" w:rsidTr="003643FA">
        <w:trPr>
          <w:trHeight w:val="7370"/>
        </w:trPr>
        <w:tc>
          <w:tcPr>
            <w:tcW w:w="7290" w:type="dxa"/>
          </w:tcPr>
          <w:p w14:paraId="3E063F52" w14:textId="5ADA5B4D" w:rsidR="00E3114E" w:rsidRDefault="00327F72" w:rsidP="00EB2A9D">
            <w:pPr>
              <w:jc w:val="center"/>
              <w:rPr>
                <w:rFonts w:ascii="Tahoma" w:hAnsi="Tahoma" w:cs="Tahoma"/>
              </w:rPr>
            </w:pPr>
            <w:r>
              <w:rPr>
                <w:noProof/>
                <w:lang w:val="en-US"/>
              </w:rPr>
              <w:drawing>
                <wp:inline distT="0" distB="0" distL="0" distR="0" wp14:anchorId="10A42818" wp14:editId="04A2D46C">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r w:rsidR="00E3114E" w:rsidRPr="00FC606D">
              <w:rPr>
                <w:sz w:val="12"/>
                <w:szCs w:val="12"/>
              </w:rPr>
              <w:br/>
            </w:r>
            <w:r w:rsidR="00CE7E87">
              <w:rPr>
                <w:rFonts w:ascii="Tahoma" w:hAnsi="Tahoma" w:cs="Tahoma"/>
              </w:rPr>
              <w:t xml:space="preserve">Recreation Therapist </w:t>
            </w:r>
          </w:p>
          <w:p w14:paraId="59F4CBFD" w14:textId="77777777" w:rsidR="00A64ED8" w:rsidRPr="00A64ED8" w:rsidRDefault="00A64ED8" w:rsidP="00A64ED8">
            <w:pPr>
              <w:rPr>
                <w:lang w:val="en-US"/>
              </w:rPr>
            </w:pPr>
          </w:p>
          <w:tbl>
            <w:tblPr>
              <w:tblW w:w="4948" w:type="pct"/>
              <w:shd w:val="clear" w:color="auto" w:fill="000000"/>
              <w:tblLook w:val="04A0" w:firstRow="1" w:lastRow="0" w:firstColumn="1" w:lastColumn="0" w:noHBand="0" w:noVBand="1"/>
            </w:tblPr>
            <w:tblGrid>
              <w:gridCol w:w="1422"/>
              <w:gridCol w:w="2076"/>
              <w:gridCol w:w="1262"/>
              <w:gridCol w:w="2240"/>
            </w:tblGrid>
            <w:tr w:rsidR="00813322" w:rsidRPr="00A21E00" w14:paraId="0444813B" w14:textId="77777777" w:rsidTr="00FC2E6A">
              <w:trPr>
                <w:trHeight w:val="189"/>
              </w:trPr>
              <w:tc>
                <w:tcPr>
                  <w:tcW w:w="1016" w:type="pct"/>
                  <w:shd w:val="clear" w:color="auto" w:fill="auto"/>
                </w:tcPr>
                <w:p w14:paraId="008F6CE5" w14:textId="77777777" w:rsidR="00813322" w:rsidRPr="00A402B3" w:rsidRDefault="00813322" w:rsidP="00E3114E">
                  <w:pPr>
                    <w:spacing w:before="40" w:after="20"/>
                    <w:rPr>
                      <w:rFonts w:ascii="Verdana" w:hAnsi="Verdana"/>
                      <w:b/>
                      <w:w w:val="92"/>
                      <w:sz w:val="16"/>
                      <w:szCs w:val="16"/>
                    </w:rPr>
                  </w:pPr>
                  <w:r w:rsidRPr="00A402B3">
                    <w:rPr>
                      <w:rFonts w:ascii="Verdana" w:hAnsi="Verdana"/>
                      <w:b/>
                      <w:w w:val="92"/>
                      <w:sz w:val="16"/>
                      <w:szCs w:val="16"/>
                    </w:rPr>
                    <w:t xml:space="preserve">Competition # </w:t>
                  </w:r>
                </w:p>
              </w:tc>
              <w:tc>
                <w:tcPr>
                  <w:tcW w:w="1483" w:type="pct"/>
                  <w:shd w:val="clear" w:color="auto" w:fill="auto"/>
                </w:tcPr>
                <w:p w14:paraId="19513FFF" w14:textId="05ED6E05" w:rsidR="00813322" w:rsidRPr="00A64ED8" w:rsidRDefault="00813322" w:rsidP="00E3114E">
                  <w:pPr>
                    <w:spacing w:before="40" w:after="20"/>
                    <w:rPr>
                      <w:rFonts w:ascii="Verdana" w:hAnsi="Verdana"/>
                      <w:w w:val="92"/>
                      <w:sz w:val="16"/>
                      <w:szCs w:val="16"/>
                      <w:highlight w:val="yellow"/>
                    </w:rPr>
                  </w:pPr>
                </w:p>
              </w:tc>
              <w:tc>
                <w:tcPr>
                  <w:tcW w:w="901" w:type="pct"/>
                  <w:shd w:val="clear" w:color="auto" w:fill="auto"/>
                </w:tcPr>
                <w:p w14:paraId="5D10D2F5" w14:textId="684DE896" w:rsidR="00813322" w:rsidRPr="00A402B3" w:rsidRDefault="00813322" w:rsidP="00813322">
                  <w:pPr>
                    <w:spacing w:before="40" w:after="20"/>
                    <w:rPr>
                      <w:rFonts w:ascii="Verdana" w:hAnsi="Verdana"/>
                      <w:b/>
                      <w:w w:val="92"/>
                      <w:sz w:val="16"/>
                      <w:szCs w:val="16"/>
                    </w:rPr>
                  </w:pPr>
                  <w:r w:rsidRPr="00A402B3">
                    <w:rPr>
                      <w:rFonts w:ascii="Verdana" w:hAnsi="Verdana"/>
                      <w:b/>
                      <w:w w:val="92"/>
                      <w:sz w:val="16"/>
                      <w:szCs w:val="16"/>
                    </w:rPr>
                    <w:t xml:space="preserve">Location: </w:t>
                  </w:r>
                  <w:r w:rsidR="00FC2E6A">
                    <w:rPr>
                      <w:rFonts w:ascii="Verdana" w:hAnsi="Verdana"/>
                      <w:b/>
                      <w:w w:val="92"/>
                      <w:sz w:val="16"/>
                      <w:szCs w:val="16"/>
                    </w:rPr>
                    <w:t xml:space="preserve"> </w:t>
                  </w:r>
                  <w:r w:rsidR="003457F2">
                    <w:rPr>
                      <w:rFonts w:ascii="Verdana" w:hAnsi="Verdana"/>
                      <w:b/>
                      <w:w w:val="92"/>
                      <w:sz w:val="16"/>
                      <w:szCs w:val="16"/>
                    </w:rPr>
                    <w:t>B</w:t>
                  </w:r>
                  <w:r w:rsidR="00FC2E6A">
                    <w:rPr>
                      <w:rFonts w:ascii="Verdana" w:hAnsi="Verdana"/>
                      <w:b/>
                      <w:w w:val="92"/>
                      <w:sz w:val="16"/>
                      <w:szCs w:val="16"/>
                    </w:rPr>
                    <w:t xml:space="preserve">ayview </w:t>
                  </w:r>
                  <w:r w:rsidR="003457F2">
                    <w:rPr>
                      <w:rFonts w:ascii="Verdana" w:hAnsi="Verdana"/>
                      <w:b/>
                      <w:w w:val="92"/>
                      <w:sz w:val="16"/>
                      <w:szCs w:val="16"/>
                    </w:rPr>
                    <w:t>D</w:t>
                  </w:r>
                  <w:r w:rsidR="00FC2E6A">
                    <w:rPr>
                      <w:rFonts w:ascii="Verdana" w:hAnsi="Verdana"/>
                      <w:b/>
                      <w:w w:val="92"/>
                      <w:sz w:val="16"/>
                      <w:szCs w:val="16"/>
                    </w:rPr>
                    <w:t>2/K3E</w:t>
                  </w:r>
                </w:p>
              </w:tc>
              <w:tc>
                <w:tcPr>
                  <w:tcW w:w="1600" w:type="pct"/>
                  <w:shd w:val="clear" w:color="auto" w:fill="auto"/>
                </w:tcPr>
                <w:p w14:paraId="6979E49E" w14:textId="0CD5CCB2" w:rsidR="00813322" w:rsidRPr="00327F72" w:rsidRDefault="00A402B3" w:rsidP="00EB2A9D">
                  <w:pPr>
                    <w:spacing w:before="40" w:after="20"/>
                    <w:rPr>
                      <w:rFonts w:ascii="Verdana" w:hAnsi="Verdana"/>
                      <w:w w:val="92"/>
                      <w:sz w:val="16"/>
                      <w:szCs w:val="16"/>
                    </w:rPr>
                  </w:pPr>
                  <w:r w:rsidRPr="00327F72">
                    <w:rPr>
                      <w:rFonts w:ascii="Verdana" w:hAnsi="Verdana"/>
                      <w:w w:val="92"/>
                      <w:sz w:val="16"/>
                      <w:szCs w:val="16"/>
                    </w:rPr>
                    <w:t xml:space="preserve"> </w:t>
                  </w:r>
                </w:p>
              </w:tc>
            </w:tr>
            <w:tr w:rsidR="00FC2E6A" w:rsidRPr="00A21E00" w14:paraId="656B0F96" w14:textId="77777777" w:rsidTr="00FC2E6A">
              <w:trPr>
                <w:trHeight w:val="170"/>
              </w:trPr>
              <w:tc>
                <w:tcPr>
                  <w:tcW w:w="1016" w:type="pct"/>
                  <w:shd w:val="clear" w:color="auto" w:fill="auto"/>
                </w:tcPr>
                <w:p w14:paraId="531E6343" w14:textId="77777777" w:rsidR="00FC2E6A" w:rsidRPr="00A402B3" w:rsidRDefault="00FC2E6A" w:rsidP="00FC2E6A">
                  <w:pPr>
                    <w:spacing w:before="40" w:after="20"/>
                    <w:rPr>
                      <w:rFonts w:ascii="Verdana" w:hAnsi="Verdana" w:cs="Tahoma"/>
                      <w:w w:val="92"/>
                      <w:sz w:val="16"/>
                      <w:szCs w:val="16"/>
                    </w:rPr>
                  </w:pPr>
                  <w:r w:rsidRPr="00A402B3">
                    <w:rPr>
                      <w:rFonts w:ascii="Verdana" w:hAnsi="Verdana"/>
                      <w:b/>
                      <w:w w:val="92"/>
                      <w:sz w:val="16"/>
                      <w:szCs w:val="16"/>
                    </w:rPr>
                    <w:t>Classification:</w:t>
                  </w:r>
                  <w:r w:rsidRPr="00A402B3">
                    <w:rPr>
                      <w:rFonts w:ascii="Verdana" w:hAnsi="Verdana"/>
                      <w:w w:val="92"/>
                      <w:sz w:val="16"/>
                      <w:szCs w:val="16"/>
                    </w:rPr>
                    <w:t xml:space="preserve"> </w:t>
                  </w:r>
                </w:p>
              </w:tc>
              <w:tc>
                <w:tcPr>
                  <w:tcW w:w="1483" w:type="pct"/>
                  <w:shd w:val="clear" w:color="auto" w:fill="auto"/>
                </w:tcPr>
                <w:p w14:paraId="35DE8E71" w14:textId="24F7C87D" w:rsidR="00FC2E6A" w:rsidRPr="00DD28B3" w:rsidRDefault="00FC2E6A" w:rsidP="00FC2E6A">
                  <w:pPr>
                    <w:spacing w:before="40" w:after="20"/>
                    <w:rPr>
                      <w:rFonts w:ascii="Arial" w:hAnsi="Arial" w:cs="Arial"/>
                      <w:sz w:val="18"/>
                      <w:szCs w:val="16"/>
                    </w:rPr>
                  </w:pPr>
                  <w:r w:rsidRPr="00FC2E6A">
                    <w:rPr>
                      <w:rFonts w:ascii="Arial" w:hAnsi="Arial" w:cs="Arial"/>
                      <w:sz w:val="18"/>
                      <w:szCs w:val="16"/>
                    </w:rPr>
                    <w:t>Temporary</w:t>
                  </w:r>
                  <w:r>
                    <w:rPr>
                      <w:rFonts w:ascii="Arial" w:hAnsi="Arial" w:cs="Arial"/>
                      <w:sz w:val="18"/>
                      <w:szCs w:val="16"/>
                    </w:rPr>
                    <w:t xml:space="preserve"> Part-Time</w:t>
                  </w:r>
                  <w:r w:rsidRPr="00DD28B3">
                    <w:rPr>
                      <w:rFonts w:ascii="Arial" w:hAnsi="Arial" w:cs="Arial"/>
                      <w:sz w:val="18"/>
                      <w:szCs w:val="16"/>
                    </w:rPr>
                    <w:t xml:space="preserve"> </w:t>
                  </w:r>
                </w:p>
                <w:p w14:paraId="6A348298" w14:textId="597D54B9" w:rsidR="00FC2E6A" w:rsidRPr="00A402B3" w:rsidRDefault="00FC2E6A" w:rsidP="00FC2E6A">
                  <w:pPr>
                    <w:spacing w:before="40" w:after="20"/>
                    <w:rPr>
                      <w:rFonts w:ascii="Verdana" w:hAnsi="Verdana" w:cs="Tahoma"/>
                      <w:w w:val="92"/>
                      <w:sz w:val="16"/>
                      <w:szCs w:val="16"/>
                    </w:rPr>
                  </w:pPr>
                  <w:r>
                    <w:rPr>
                      <w:rFonts w:ascii="Arial" w:hAnsi="Arial" w:cs="Arial"/>
                      <w:sz w:val="18"/>
                      <w:szCs w:val="16"/>
                    </w:rPr>
                    <w:t>(</w:t>
                  </w:r>
                  <w:r w:rsidRPr="00DD28B3">
                    <w:rPr>
                      <w:rFonts w:ascii="Arial" w:hAnsi="Arial" w:cs="Arial"/>
                      <w:sz w:val="18"/>
                      <w:szCs w:val="16"/>
                    </w:rPr>
                    <w:t>0</w:t>
                  </w:r>
                  <w:r>
                    <w:rPr>
                      <w:rFonts w:ascii="Arial" w:hAnsi="Arial" w:cs="Arial"/>
                      <w:sz w:val="18"/>
                      <w:szCs w:val="16"/>
                    </w:rPr>
                    <w:t>.4</w:t>
                  </w:r>
                  <w:r w:rsidRPr="00DD28B3">
                    <w:rPr>
                      <w:rFonts w:ascii="Arial" w:hAnsi="Arial" w:cs="Arial"/>
                      <w:sz w:val="18"/>
                      <w:szCs w:val="16"/>
                    </w:rPr>
                    <w:t xml:space="preserve"> FTE)</w:t>
                  </w:r>
                </w:p>
              </w:tc>
              <w:tc>
                <w:tcPr>
                  <w:tcW w:w="901" w:type="pct"/>
                  <w:shd w:val="clear" w:color="auto" w:fill="auto"/>
                </w:tcPr>
                <w:p w14:paraId="7B82DE93" w14:textId="77777777" w:rsidR="00FC2E6A" w:rsidRPr="00A402B3" w:rsidRDefault="00FC2E6A" w:rsidP="00FC2E6A">
                  <w:pPr>
                    <w:spacing w:before="40" w:after="20"/>
                    <w:rPr>
                      <w:rFonts w:ascii="Verdana" w:hAnsi="Verdana" w:cs="Tahoma"/>
                      <w:w w:val="92"/>
                      <w:sz w:val="16"/>
                      <w:szCs w:val="16"/>
                    </w:rPr>
                  </w:pPr>
                  <w:r w:rsidRPr="00A402B3">
                    <w:rPr>
                      <w:rFonts w:ascii="Verdana" w:hAnsi="Verdana"/>
                      <w:b/>
                      <w:w w:val="92"/>
                      <w:sz w:val="16"/>
                      <w:szCs w:val="16"/>
                    </w:rPr>
                    <w:t>Department:</w:t>
                  </w:r>
                </w:p>
              </w:tc>
              <w:tc>
                <w:tcPr>
                  <w:tcW w:w="1600" w:type="pct"/>
                  <w:shd w:val="clear" w:color="auto" w:fill="auto"/>
                </w:tcPr>
                <w:p w14:paraId="66A1BA0A" w14:textId="26801E9F" w:rsidR="00FC2E6A" w:rsidRPr="00A402B3" w:rsidRDefault="00FC2E6A" w:rsidP="00FC2E6A">
                  <w:pPr>
                    <w:spacing w:before="40" w:after="20"/>
                    <w:rPr>
                      <w:rFonts w:ascii="Verdana" w:hAnsi="Verdana" w:cs="Tahoma"/>
                      <w:w w:val="92"/>
                      <w:sz w:val="16"/>
                      <w:szCs w:val="16"/>
                    </w:rPr>
                  </w:pPr>
                  <w:r>
                    <w:rPr>
                      <w:rFonts w:ascii="Verdana" w:hAnsi="Verdana" w:cs="Tahoma"/>
                      <w:w w:val="92"/>
                      <w:sz w:val="16"/>
                      <w:szCs w:val="16"/>
                    </w:rPr>
                    <w:t xml:space="preserve">Senior Friendly (Quality &amp; Patient Safety) </w:t>
                  </w:r>
                </w:p>
              </w:tc>
            </w:tr>
            <w:tr w:rsidR="00FC2E6A" w:rsidRPr="00A21E00" w14:paraId="5C0CC8ED" w14:textId="77777777" w:rsidTr="00FC2E6A">
              <w:trPr>
                <w:trHeight w:val="189"/>
              </w:trPr>
              <w:tc>
                <w:tcPr>
                  <w:tcW w:w="1016" w:type="pct"/>
                  <w:shd w:val="clear" w:color="auto" w:fill="auto"/>
                </w:tcPr>
                <w:p w14:paraId="5741D44B" w14:textId="77777777" w:rsidR="00FC2E6A" w:rsidRPr="00A402B3" w:rsidRDefault="00FC2E6A" w:rsidP="00FC2E6A">
                  <w:pPr>
                    <w:spacing w:before="40" w:after="20"/>
                    <w:rPr>
                      <w:rFonts w:ascii="Verdana" w:hAnsi="Verdana"/>
                      <w:b/>
                      <w:w w:val="92"/>
                      <w:sz w:val="16"/>
                      <w:szCs w:val="16"/>
                    </w:rPr>
                  </w:pPr>
                  <w:r w:rsidRPr="00A402B3">
                    <w:rPr>
                      <w:rFonts w:ascii="Verdana" w:hAnsi="Verdana"/>
                      <w:b/>
                      <w:w w:val="92"/>
                      <w:sz w:val="16"/>
                      <w:szCs w:val="16"/>
                    </w:rPr>
                    <w:t xml:space="preserve">Salary: </w:t>
                  </w:r>
                </w:p>
              </w:tc>
              <w:tc>
                <w:tcPr>
                  <w:tcW w:w="1483" w:type="pct"/>
                  <w:shd w:val="clear" w:color="auto" w:fill="auto"/>
                </w:tcPr>
                <w:p w14:paraId="137A232E" w14:textId="729CC92E" w:rsidR="00FC2E6A" w:rsidRPr="00A64ED8" w:rsidRDefault="00FC2E6A" w:rsidP="00FC2E6A">
                  <w:pPr>
                    <w:spacing w:before="40" w:after="20"/>
                    <w:rPr>
                      <w:rFonts w:ascii="Verdana" w:hAnsi="Verdana"/>
                      <w:w w:val="92"/>
                      <w:sz w:val="16"/>
                      <w:szCs w:val="16"/>
                    </w:rPr>
                  </w:pPr>
                </w:p>
              </w:tc>
              <w:tc>
                <w:tcPr>
                  <w:tcW w:w="901" w:type="pct"/>
                  <w:shd w:val="clear" w:color="auto" w:fill="auto"/>
                </w:tcPr>
                <w:p w14:paraId="5762AF7E" w14:textId="77777777" w:rsidR="003457F2" w:rsidRDefault="00FC2E6A" w:rsidP="00FC2E6A">
                  <w:pPr>
                    <w:spacing w:before="40" w:after="20"/>
                    <w:rPr>
                      <w:rFonts w:ascii="Verdana" w:hAnsi="Verdana"/>
                      <w:b/>
                      <w:w w:val="92"/>
                      <w:sz w:val="16"/>
                      <w:szCs w:val="16"/>
                    </w:rPr>
                  </w:pPr>
                  <w:r w:rsidRPr="00A402B3">
                    <w:rPr>
                      <w:rFonts w:ascii="Verdana" w:hAnsi="Verdana"/>
                      <w:b/>
                      <w:w w:val="92"/>
                      <w:sz w:val="16"/>
                      <w:szCs w:val="16"/>
                    </w:rPr>
                    <w:t xml:space="preserve">Union: </w:t>
                  </w:r>
                </w:p>
                <w:p w14:paraId="4FA45EB2" w14:textId="171E613D" w:rsidR="00FC2E6A" w:rsidRPr="001A1767" w:rsidRDefault="003457F2" w:rsidP="00FC2E6A">
                  <w:pPr>
                    <w:spacing w:before="40" w:after="20"/>
                    <w:rPr>
                      <w:rFonts w:ascii="Verdana" w:hAnsi="Verdana"/>
                      <w:bCs/>
                      <w:w w:val="92"/>
                      <w:sz w:val="16"/>
                      <w:szCs w:val="16"/>
                    </w:rPr>
                  </w:pPr>
                  <w:r w:rsidRPr="001A1767">
                    <w:rPr>
                      <w:rFonts w:ascii="Verdana" w:hAnsi="Verdana"/>
                      <w:bCs/>
                      <w:w w:val="92"/>
                      <w:sz w:val="16"/>
                      <w:szCs w:val="16"/>
                    </w:rPr>
                    <w:t>Non-union</w:t>
                  </w:r>
                </w:p>
              </w:tc>
              <w:tc>
                <w:tcPr>
                  <w:tcW w:w="1600" w:type="pct"/>
                  <w:shd w:val="clear" w:color="auto" w:fill="auto"/>
                </w:tcPr>
                <w:p w14:paraId="6FD1BB56" w14:textId="1A2AEE70" w:rsidR="00FC2E6A" w:rsidRPr="00327F72" w:rsidRDefault="00FC2E6A" w:rsidP="00FC2E6A">
                  <w:pPr>
                    <w:spacing w:before="40" w:after="20"/>
                    <w:rPr>
                      <w:rFonts w:ascii="Verdana" w:hAnsi="Verdana"/>
                      <w:w w:val="92"/>
                      <w:sz w:val="16"/>
                      <w:szCs w:val="16"/>
                    </w:rPr>
                  </w:pPr>
                </w:p>
              </w:tc>
            </w:tr>
            <w:tr w:rsidR="00FC2E6A" w:rsidRPr="00A21E00" w14:paraId="1B636A45" w14:textId="77777777" w:rsidTr="00E3114E">
              <w:trPr>
                <w:trHeight w:val="170"/>
              </w:trPr>
              <w:tc>
                <w:tcPr>
                  <w:tcW w:w="5000" w:type="pct"/>
                  <w:gridSpan w:val="4"/>
                  <w:shd w:val="clear" w:color="auto" w:fill="auto"/>
                </w:tcPr>
                <w:p w14:paraId="71852182" w14:textId="4033B677" w:rsidR="00FC2E6A" w:rsidRPr="00A402B3" w:rsidRDefault="00FC2E6A" w:rsidP="00FC2E6A">
                  <w:pPr>
                    <w:spacing w:before="40" w:after="20"/>
                    <w:rPr>
                      <w:rFonts w:ascii="Verdana" w:hAnsi="Verdana"/>
                      <w:b/>
                      <w:w w:val="92"/>
                      <w:sz w:val="16"/>
                      <w:szCs w:val="16"/>
                    </w:rPr>
                  </w:pPr>
                  <w:r w:rsidRPr="00A402B3">
                    <w:rPr>
                      <w:rFonts w:ascii="Verdana" w:hAnsi="Verdana"/>
                      <w:b/>
                      <w:w w:val="92"/>
                      <w:sz w:val="16"/>
                      <w:szCs w:val="16"/>
                    </w:rPr>
                    <w:t>Hours of Work</w:t>
                  </w:r>
                  <w:r w:rsidRPr="004E6D92">
                    <w:rPr>
                      <w:rFonts w:ascii="Verdana" w:hAnsi="Verdana"/>
                      <w:w w:val="92"/>
                      <w:sz w:val="16"/>
                      <w:szCs w:val="16"/>
                    </w:rPr>
                    <w:t xml:space="preserve">:  </w:t>
                  </w:r>
                  <w:r>
                    <w:rPr>
                      <w:rFonts w:ascii="Verdana" w:hAnsi="Verdana"/>
                      <w:w w:val="92"/>
                      <w:sz w:val="16"/>
                      <w:szCs w:val="16"/>
                    </w:rPr>
                    <w:t xml:space="preserve"> </w:t>
                  </w:r>
                  <w:r w:rsidR="001A1767">
                    <w:rPr>
                      <w:rFonts w:ascii="Verdana" w:hAnsi="Verdana"/>
                      <w:w w:val="92"/>
                      <w:sz w:val="16"/>
                      <w:szCs w:val="16"/>
                    </w:rPr>
                    <w:t>Full-time</w:t>
                  </w:r>
                </w:p>
              </w:tc>
            </w:tr>
          </w:tbl>
          <w:p w14:paraId="18A6E1CA" w14:textId="77777777" w:rsidR="00FC2E6A" w:rsidRPr="009E682A" w:rsidRDefault="00FC2E6A" w:rsidP="00FC2E6A">
            <w:pPr>
              <w:rPr>
                <w:b/>
                <w:bCs/>
              </w:rPr>
            </w:pPr>
            <w:r w:rsidRPr="009E682A">
              <w:rPr>
                <w:b/>
                <w:bCs/>
              </w:rPr>
              <w:t>Summary of Duties</w:t>
            </w:r>
          </w:p>
          <w:p w14:paraId="5530CE22" w14:textId="77777777" w:rsidR="00FC2E6A" w:rsidRPr="00FC2E6A" w:rsidRDefault="00FC2E6A" w:rsidP="00FC2E6A">
            <w:pPr>
              <w:numPr>
                <w:ilvl w:val="0"/>
                <w:numId w:val="9"/>
              </w:numPr>
              <w:rPr>
                <w:rFonts w:ascii="Verdana" w:hAnsi="Verdana"/>
                <w:sz w:val="16"/>
                <w:szCs w:val="16"/>
              </w:rPr>
            </w:pPr>
            <w:r w:rsidRPr="00FC2E6A">
              <w:rPr>
                <w:rFonts w:ascii="Verdana" w:hAnsi="Verdana"/>
                <w:sz w:val="16"/>
                <w:szCs w:val="16"/>
              </w:rPr>
              <w:t>Assess, design, implement, and evaluate therapeutic recreation services for patients in Acute Care in collaboration with the interprofessional team.</w:t>
            </w:r>
          </w:p>
          <w:p w14:paraId="4C60E0B1" w14:textId="77777777" w:rsidR="00FC2E6A" w:rsidRPr="00FC2E6A" w:rsidRDefault="00FC2E6A" w:rsidP="00FC2E6A">
            <w:pPr>
              <w:numPr>
                <w:ilvl w:val="0"/>
                <w:numId w:val="9"/>
              </w:numPr>
              <w:rPr>
                <w:rFonts w:ascii="Verdana" w:hAnsi="Verdana"/>
                <w:sz w:val="16"/>
                <w:szCs w:val="16"/>
              </w:rPr>
            </w:pPr>
            <w:r w:rsidRPr="00FC2E6A">
              <w:rPr>
                <w:rFonts w:ascii="Verdana" w:hAnsi="Verdana"/>
                <w:sz w:val="16"/>
                <w:szCs w:val="16"/>
              </w:rPr>
              <w:t>Integrate evidence-informed delirium prevention strategies into recreation therapy assessments, care plans, and interventions (e.g., orientation, cognitive stimulation, mobility, sleep–wake cycle support, and meaningful engagement).</w:t>
            </w:r>
          </w:p>
          <w:p w14:paraId="3B98C72F" w14:textId="77777777" w:rsidR="00FC2E6A" w:rsidRPr="00FC2E6A" w:rsidRDefault="00FC2E6A" w:rsidP="00FC2E6A">
            <w:pPr>
              <w:numPr>
                <w:ilvl w:val="0"/>
                <w:numId w:val="9"/>
              </w:numPr>
              <w:rPr>
                <w:rFonts w:ascii="Verdana" w:hAnsi="Verdana"/>
                <w:sz w:val="16"/>
                <w:szCs w:val="16"/>
              </w:rPr>
            </w:pPr>
            <w:r w:rsidRPr="00FC2E6A">
              <w:rPr>
                <w:rFonts w:ascii="Verdana" w:hAnsi="Verdana"/>
                <w:sz w:val="16"/>
                <w:szCs w:val="16"/>
              </w:rPr>
              <w:t>Utilize therapeutic recreation interventions to reduce known delirium risk factors, including social isolation, sensory impairment, immobility, and cognitive decline.</w:t>
            </w:r>
          </w:p>
          <w:p w14:paraId="6F1E2A97" w14:textId="77777777" w:rsidR="00FC2E6A" w:rsidRPr="00FC2E6A" w:rsidRDefault="00FC2E6A" w:rsidP="00FC2E6A">
            <w:pPr>
              <w:numPr>
                <w:ilvl w:val="0"/>
                <w:numId w:val="9"/>
              </w:numPr>
              <w:rPr>
                <w:rFonts w:ascii="Verdana" w:hAnsi="Verdana"/>
                <w:sz w:val="16"/>
                <w:szCs w:val="16"/>
              </w:rPr>
            </w:pPr>
            <w:r w:rsidRPr="00FC2E6A">
              <w:rPr>
                <w:rFonts w:ascii="Verdana" w:hAnsi="Verdana"/>
                <w:sz w:val="16"/>
                <w:szCs w:val="16"/>
              </w:rPr>
              <w:t>Collaborate with the interprofessional team to support hospital-wide delirium prevention initiatives and promote non-pharmacological approaches to cognitive health.</w:t>
            </w:r>
          </w:p>
          <w:p w14:paraId="7354DEDC" w14:textId="77777777" w:rsidR="00FC2E6A" w:rsidRPr="00FC2E6A" w:rsidRDefault="00FC2E6A" w:rsidP="00FC2E6A">
            <w:pPr>
              <w:numPr>
                <w:ilvl w:val="0"/>
                <w:numId w:val="9"/>
              </w:numPr>
              <w:rPr>
                <w:rFonts w:ascii="Verdana" w:hAnsi="Verdana"/>
                <w:sz w:val="16"/>
                <w:szCs w:val="16"/>
              </w:rPr>
            </w:pPr>
            <w:r w:rsidRPr="00FC2E6A">
              <w:rPr>
                <w:rFonts w:ascii="Verdana" w:hAnsi="Verdana"/>
                <w:sz w:val="16"/>
                <w:szCs w:val="16"/>
              </w:rPr>
              <w:t>Provide consultation and education to staff, patients, and caregivers related to therapeutic recreation and delirium prevention best practices.</w:t>
            </w:r>
          </w:p>
          <w:p w14:paraId="19F68F71" w14:textId="77777777" w:rsidR="00FC2E6A" w:rsidRPr="00FC2E6A" w:rsidRDefault="00FC2E6A" w:rsidP="00FC2E6A">
            <w:pPr>
              <w:numPr>
                <w:ilvl w:val="0"/>
                <w:numId w:val="9"/>
              </w:numPr>
              <w:rPr>
                <w:rFonts w:ascii="Verdana" w:hAnsi="Verdana"/>
                <w:sz w:val="16"/>
                <w:szCs w:val="16"/>
              </w:rPr>
            </w:pPr>
            <w:r w:rsidRPr="00FC2E6A">
              <w:rPr>
                <w:rFonts w:ascii="Verdana" w:hAnsi="Verdana"/>
                <w:sz w:val="16"/>
                <w:szCs w:val="16"/>
              </w:rPr>
              <w:t>Act as a liaison for various community partnerships to support continuity of care and cognitive wellness.</w:t>
            </w:r>
          </w:p>
          <w:p w14:paraId="22E99CB9" w14:textId="77777777" w:rsidR="00FC2E6A" w:rsidRDefault="00FC2E6A" w:rsidP="00FC2E6A">
            <w:pPr>
              <w:numPr>
                <w:ilvl w:val="0"/>
                <w:numId w:val="9"/>
              </w:numPr>
              <w:rPr>
                <w:rFonts w:ascii="Verdana" w:hAnsi="Verdana"/>
                <w:sz w:val="16"/>
                <w:szCs w:val="16"/>
              </w:rPr>
            </w:pPr>
            <w:r w:rsidRPr="00FC2E6A">
              <w:rPr>
                <w:rFonts w:ascii="Verdana" w:hAnsi="Verdana"/>
                <w:sz w:val="16"/>
                <w:szCs w:val="16"/>
              </w:rPr>
              <w:t>Participate in Recreation Therapy professional initiatives, quality improvement activities, and best-practice development related to older adult care and delirium prevention.</w:t>
            </w:r>
          </w:p>
          <w:p w14:paraId="0FC7AEFC" w14:textId="79068A6B" w:rsidR="00CD4A4F" w:rsidRPr="00FC2E6A" w:rsidRDefault="00CD4A4F" w:rsidP="00FC2E6A">
            <w:pPr>
              <w:numPr>
                <w:ilvl w:val="0"/>
                <w:numId w:val="9"/>
              </w:numPr>
              <w:rPr>
                <w:rFonts w:ascii="Verdana" w:hAnsi="Verdana"/>
                <w:sz w:val="16"/>
                <w:szCs w:val="16"/>
              </w:rPr>
            </w:pPr>
            <w:r>
              <w:rPr>
                <w:rFonts w:ascii="Verdana" w:hAnsi="Verdana"/>
                <w:sz w:val="16"/>
                <w:szCs w:val="16"/>
              </w:rPr>
              <w:t xml:space="preserve">Document findings following best practice guidelines utilizing </w:t>
            </w:r>
            <w:proofErr w:type="spellStart"/>
            <w:r>
              <w:rPr>
                <w:rFonts w:ascii="Verdana" w:hAnsi="Verdana"/>
                <w:sz w:val="16"/>
                <w:szCs w:val="16"/>
              </w:rPr>
              <w:t>Sunnycare</w:t>
            </w:r>
            <w:proofErr w:type="spellEnd"/>
            <w:r>
              <w:rPr>
                <w:rFonts w:ascii="Verdana" w:hAnsi="Verdana"/>
                <w:sz w:val="16"/>
                <w:szCs w:val="16"/>
              </w:rPr>
              <w:t xml:space="preserve"> and excel</w:t>
            </w:r>
          </w:p>
          <w:p w14:paraId="65E895A8" w14:textId="77777777" w:rsidR="00A64ED8" w:rsidRPr="00374BB4" w:rsidRDefault="00A64ED8" w:rsidP="00A64ED8">
            <w:pPr>
              <w:ind w:left="360"/>
              <w:rPr>
                <w:rFonts w:ascii="Verdana" w:hAnsi="Verdana" w:cs="Tahoma"/>
                <w:b/>
                <w:sz w:val="16"/>
                <w:szCs w:val="16"/>
              </w:rPr>
            </w:pPr>
          </w:p>
          <w:p w14:paraId="15CCBB65" w14:textId="77777777" w:rsidR="00E3114E" w:rsidRPr="00A402B3" w:rsidRDefault="00E3114E" w:rsidP="00E3114E">
            <w:pPr>
              <w:rPr>
                <w:rFonts w:ascii="Verdana" w:hAnsi="Verdana"/>
                <w:b/>
                <w:bCs/>
                <w:w w:val="92"/>
                <w:sz w:val="18"/>
                <w:szCs w:val="18"/>
              </w:rPr>
            </w:pPr>
            <w:r w:rsidRPr="00A402B3">
              <w:rPr>
                <w:rFonts w:ascii="Verdana" w:hAnsi="Verdana"/>
                <w:b/>
                <w:bCs/>
                <w:w w:val="92"/>
                <w:sz w:val="18"/>
                <w:szCs w:val="18"/>
              </w:rPr>
              <w:t>Qualifications/Skills</w:t>
            </w:r>
          </w:p>
          <w:p w14:paraId="51A6FC9A" w14:textId="77777777" w:rsidR="00CE7E87" w:rsidRDefault="00CE7E87" w:rsidP="00FC2E6A">
            <w:pPr>
              <w:numPr>
                <w:ilvl w:val="0"/>
                <w:numId w:val="9"/>
              </w:numPr>
              <w:rPr>
                <w:rFonts w:ascii="Verdana" w:hAnsi="Verdana" w:cs="Tahoma"/>
                <w:sz w:val="16"/>
                <w:szCs w:val="16"/>
                <w:lang w:val="en-GB"/>
              </w:rPr>
            </w:pPr>
            <w:r w:rsidRPr="00374BB4">
              <w:rPr>
                <w:rFonts w:ascii="Verdana" w:hAnsi="Verdana" w:cs="Tahoma"/>
                <w:sz w:val="16"/>
                <w:szCs w:val="16"/>
                <w:lang w:val="en-GB"/>
              </w:rPr>
              <w:t xml:space="preserve">Degree in Recreation /Leisure Studies with therapeutic recreation </w:t>
            </w:r>
            <w:proofErr w:type="gramStart"/>
            <w:r w:rsidRPr="00374BB4">
              <w:rPr>
                <w:rFonts w:ascii="Verdana" w:hAnsi="Verdana" w:cs="Tahoma"/>
                <w:sz w:val="16"/>
                <w:szCs w:val="16"/>
                <w:lang w:val="en-GB"/>
              </w:rPr>
              <w:t>specialization;</w:t>
            </w:r>
            <w:proofErr w:type="gramEnd"/>
          </w:p>
          <w:p w14:paraId="68E97CE8" w14:textId="61668EED" w:rsidR="00CD4A4F" w:rsidRPr="00CD4A4F" w:rsidRDefault="00CD4A4F" w:rsidP="00CD4A4F">
            <w:pPr>
              <w:numPr>
                <w:ilvl w:val="0"/>
                <w:numId w:val="9"/>
              </w:numPr>
              <w:rPr>
                <w:rFonts w:ascii="Verdana" w:hAnsi="Verdana" w:cs="Tahoma"/>
                <w:sz w:val="16"/>
                <w:szCs w:val="16"/>
                <w:lang w:val="en-GB"/>
              </w:rPr>
            </w:pPr>
            <w:r w:rsidRPr="00374BB4">
              <w:rPr>
                <w:rFonts w:ascii="Verdana" w:hAnsi="Verdana" w:cs="Tahoma"/>
                <w:sz w:val="16"/>
                <w:szCs w:val="16"/>
                <w:lang w:val="en-GB"/>
              </w:rPr>
              <w:t xml:space="preserve">R/TRO designation </w:t>
            </w:r>
            <w:proofErr w:type="gramStart"/>
            <w:r w:rsidRPr="00374BB4">
              <w:rPr>
                <w:rFonts w:ascii="Verdana" w:hAnsi="Verdana" w:cs="Tahoma"/>
                <w:sz w:val="16"/>
                <w:szCs w:val="16"/>
                <w:lang w:val="en-GB"/>
              </w:rPr>
              <w:t>required;</w:t>
            </w:r>
            <w:proofErr w:type="gramEnd"/>
          </w:p>
          <w:p w14:paraId="0E35943D" w14:textId="77777777" w:rsidR="00CE7E87" w:rsidRPr="00374BB4" w:rsidRDefault="00CE7E87" w:rsidP="00FC2E6A">
            <w:pPr>
              <w:numPr>
                <w:ilvl w:val="0"/>
                <w:numId w:val="9"/>
              </w:numPr>
              <w:rPr>
                <w:rFonts w:ascii="Verdana" w:hAnsi="Verdana" w:cs="Tahoma"/>
                <w:sz w:val="16"/>
                <w:szCs w:val="16"/>
                <w:lang w:val="en-GB"/>
              </w:rPr>
            </w:pPr>
            <w:r w:rsidRPr="00374BB4">
              <w:rPr>
                <w:rFonts w:ascii="Verdana" w:hAnsi="Verdana" w:cs="Tahoma"/>
                <w:sz w:val="16"/>
                <w:szCs w:val="16"/>
                <w:lang w:val="en-GB"/>
              </w:rPr>
              <w:t xml:space="preserve">CPR Certification at the Basic Rescuer level </w:t>
            </w:r>
            <w:proofErr w:type="gramStart"/>
            <w:r w:rsidRPr="00374BB4">
              <w:rPr>
                <w:rFonts w:ascii="Verdana" w:hAnsi="Verdana" w:cs="Tahoma"/>
                <w:sz w:val="16"/>
                <w:szCs w:val="16"/>
                <w:lang w:val="en-GB"/>
              </w:rPr>
              <w:t>essential;</w:t>
            </w:r>
            <w:proofErr w:type="gramEnd"/>
          </w:p>
          <w:p w14:paraId="3884980A" w14:textId="77777777" w:rsidR="00CE7E87" w:rsidRPr="00374BB4" w:rsidRDefault="00CE7E87" w:rsidP="00FC2E6A">
            <w:pPr>
              <w:numPr>
                <w:ilvl w:val="0"/>
                <w:numId w:val="9"/>
              </w:numPr>
              <w:rPr>
                <w:rFonts w:ascii="Verdana" w:hAnsi="Verdana" w:cs="Tahoma"/>
                <w:sz w:val="16"/>
                <w:szCs w:val="16"/>
                <w:lang w:val="en-GB"/>
              </w:rPr>
            </w:pPr>
            <w:r w:rsidRPr="00374BB4">
              <w:rPr>
                <w:rFonts w:ascii="Verdana" w:hAnsi="Verdana" w:cs="Tahoma"/>
                <w:sz w:val="16"/>
                <w:szCs w:val="16"/>
                <w:lang w:val="en-GB"/>
              </w:rPr>
              <w:t xml:space="preserve">Membership with a Recreation Therapy Professional Association </w:t>
            </w:r>
            <w:proofErr w:type="gramStart"/>
            <w:r w:rsidRPr="00374BB4">
              <w:rPr>
                <w:rFonts w:ascii="Verdana" w:hAnsi="Verdana" w:cs="Tahoma"/>
                <w:sz w:val="16"/>
                <w:szCs w:val="16"/>
                <w:lang w:val="en-GB"/>
              </w:rPr>
              <w:t>essential;</w:t>
            </w:r>
            <w:proofErr w:type="gramEnd"/>
          </w:p>
          <w:p w14:paraId="3D433C1A" w14:textId="77777777" w:rsidR="00CE7E87" w:rsidRPr="00374BB4" w:rsidRDefault="00CE7E87" w:rsidP="00FC2E6A">
            <w:pPr>
              <w:numPr>
                <w:ilvl w:val="0"/>
                <w:numId w:val="9"/>
              </w:numPr>
              <w:rPr>
                <w:rFonts w:ascii="Verdana" w:hAnsi="Verdana" w:cs="Tahoma"/>
                <w:sz w:val="16"/>
                <w:szCs w:val="16"/>
                <w:lang w:val="en-GB"/>
              </w:rPr>
            </w:pPr>
            <w:r w:rsidRPr="00374BB4">
              <w:rPr>
                <w:rFonts w:ascii="Verdana" w:hAnsi="Verdana" w:cs="Tahoma"/>
                <w:sz w:val="16"/>
                <w:szCs w:val="16"/>
                <w:lang w:val="en-GB"/>
              </w:rPr>
              <w:t>CTRS Designation Preferred</w:t>
            </w:r>
          </w:p>
          <w:p w14:paraId="5765940D" w14:textId="77777777" w:rsidR="00CE7E87" w:rsidRPr="00374BB4" w:rsidRDefault="00CE7E87" w:rsidP="00FC2E6A">
            <w:pPr>
              <w:numPr>
                <w:ilvl w:val="0"/>
                <w:numId w:val="9"/>
              </w:numPr>
              <w:rPr>
                <w:rFonts w:ascii="Verdana" w:hAnsi="Verdana" w:cs="Tahoma"/>
                <w:sz w:val="16"/>
                <w:szCs w:val="16"/>
                <w:lang w:val="en-GB"/>
              </w:rPr>
            </w:pPr>
            <w:r w:rsidRPr="00374BB4">
              <w:rPr>
                <w:rFonts w:ascii="Verdana" w:hAnsi="Verdana" w:cs="Tahoma"/>
                <w:sz w:val="16"/>
                <w:szCs w:val="16"/>
                <w:lang w:val="en-GB"/>
              </w:rPr>
              <w:t xml:space="preserve">Cognitive Support/Mental Health experience an </w:t>
            </w:r>
            <w:proofErr w:type="gramStart"/>
            <w:r w:rsidRPr="00374BB4">
              <w:rPr>
                <w:rFonts w:ascii="Verdana" w:hAnsi="Verdana" w:cs="Tahoma"/>
                <w:sz w:val="16"/>
                <w:szCs w:val="16"/>
                <w:lang w:val="en-GB"/>
              </w:rPr>
              <w:t>asset;</w:t>
            </w:r>
            <w:proofErr w:type="gramEnd"/>
            <w:r w:rsidRPr="00374BB4">
              <w:rPr>
                <w:rFonts w:ascii="Verdana" w:hAnsi="Verdana" w:cs="Tahoma"/>
                <w:sz w:val="16"/>
                <w:szCs w:val="16"/>
                <w:lang w:val="en-GB"/>
              </w:rPr>
              <w:t xml:space="preserve"> </w:t>
            </w:r>
          </w:p>
          <w:p w14:paraId="6EED920F" w14:textId="77777777" w:rsidR="00CE7E87" w:rsidRPr="00374BB4" w:rsidRDefault="00CE7E87" w:rsidP="00FC2E6A">
            <w:pPr>
              <w:numPr>
                <w:ilvl w:val="0"/>
                <w:numId w:val="9"/>
              </w:numPr>
              <w:rPr>
                <w:rFonts w:ascii="Verdana" w:hAnsi="Verdana" w:cs="Tahoma"/>
                <w:sz w:val="16"/>
                <w:szCs w:val="16"/>
                <w:lang w:val="en-GB"/>
              </w:rPr>
            </w:pPr>
            <w:r w:rsidRPr="00374BB4">
              <w:rPr>
                <w:rFonts w:ascii="Verdana" w:hAnsi="Verdana" w:cs="Tahoma"/>
                <w:sz w:val="16"/>
                <w:szCs w:val="16"/>
                <w:lang w:val="en-GB"/>
              </w:rPr>
              <w:t xml:space="preserve">Experience working with older adults </w:t>
            </w:r>
            <w:proofErr w:type="gramStart"/>
            <w:r w:rsidRPr="00374BB4">
              <w:rPr>
                <w:rFonts w:ascii="Verdana" w:hAnsi="Verdana" w:cs="Tahoma"/>
                <w:sz w:val="16"/>
                <w:szCs w:val="16"/>
                <w:lang w:val="en-GB"/>
              </w:rPr>
              <w:t>essential;</w:t>
            </w:r>
            <w:proofErr w:type="gramEnd"/>
          </w:p>
          <w:p w14:paraId="2B093366" w14:textId="77777777" w:rsidR="00CE7E87" w:rsidRPr="00374BB4" w:rsidRDefault="00CE7E87" w:rsidP="00FC2E6A">
            <w:pPr>
              <w:numPr>
                <w:ilvl w:val="0"/>
                <w:numId w:val="9"/>
              </w:numPr>
              <w:rPr>
                <w:rFonts w:ascii="Verdana" w:hAnsi="Verdana" w:cs="Tahoma"/>
                <w:sz w:val="16"/>
                <w:szCs w:val="16"/>
                <w:lang w:val="en-GB"/>
              </w:rPr>
            </w:pPr>
            <w:r w:rsidRPr="00374BB4">
              <w:rPr>
                <w:rFonts w:ascii="Verdana" w:hAnsi="Verdana" w:cs="Tahoma"/>
                <w:sz w:val="16"/>
                <w:szCs w:val="16"/>
                <w:lang w:val="en-GB"/>
              </w:rPr>
              <w:t xml:space="preserve">Strong interpersonal skills, with the ability to communicate effectively at all levels both within the organization and the </w:t>
            </w:r>
            <w:proofErr w:type="gramStart"/>
            <w:r w:rsidRPr="00374BB4">
              <w:rPr>
                <w:rFonts w:ascii="Verdana" w:hAnsi="Verdana" w:cs="Tahoma"/>
                <w:sz w:val="16"/>
                <w:szCs w:val="16"/>
                <w:lang w:val="en-GB"/>
              </w:rPr>
              <w:t>community;</w:t>
            </w:r>
            <w:proofErr w:type="gramEnd"/>
          </w:p>
          <w:p w14:paraId="1B05A3E7" w14:textId="77777777" w:rsidR="00CE7E87" w:rsidRPr="00374BB4" w:rsidRDefault="00CE7E87" w:rsidP="00FC2E6A">
            <w:pPr>
              <w:numPr>
                <w:ilvl w:val="0"/>
                <w:numId w:val="9"/>
              </w:numPr>
              <w:rPr>
                <w:rFonts w:ascii="Verdana" w:hAnsi="Verdana" w:cs="Tahoma"/>
                <w:sz w:val="16"/>
                <w:szCs w:val="16"/>
                <w:lang w:val="en-GB"/>
              </w:rPr>
            </w:pPr>
            <w:r w:rsidRPr="00374BB4">
              <w:rPr>
                <w:rFonts w:ascii="Verdana" w:hAnsi="Verdana" w:cs="Tahoma"/>
                <w:sz w:val="16"/>
                <w:szCs w:val="16"/>
                <w:lang w:val="en-GB"/>
              </w:rPr>
              <w:t xml:space="preserve">Demonstrated awareness of, or involvement in, current issues in the Recreation Therapy profession at a provincial or national </w:t>
            </w:r>
            <w:proofErr w:type="gramStart"/>
            <w:r w:rsidRPr="00374BB4">
              <w:rPr>
                <w:rFonts w:ascii="Verdana" w:hAnsi="Verdana" w:cs="Tahoma"/>
                <w:sz w:val="16"/>
                <w:szCs w:val="16"/>
                <w:lang w:val="en-GB"/>
              </w:rPr>
              <w:t>level;</w:t>
            </w:r>
            <w:proofErr w:type="gramEnd"/>
          </w:p>
          <w:p w14:paraId="426D9236" w14:textId="77777777" w:rsidR="00CE7E87" w:rsidRPr="00EB2A9D" w:rsidRDefault="00CE7E87" w:rsidP="00FC2E6A">
            <w:pPr>
              <w:numPr>
                <w:ilvl w:val="0"/>
                <w:numId w:val="9"/>
              </w:numPr>
              <w:rPr>
                <w:rFonts w:ascii="Verdana" w:hAnsi="Verdana" w:cs="Tahoma"/>
                <w:sz w:val="18"/>
              </w:rPr>
            </w:pPr>
            <w:r w:rsidRPr="00374BB4">
              <w:rPr>
                <w:rFonts w:ascii="Verdana" w:hAnsi="Verdana" w:cs="Tahoma"/>
                <w:sz w:val="16"/>
                <w:szCs w:val="16"/>
              </w:rPr>
              <w:t>Ability to work with the multidisciplinary team and multiple</w:t>
            </w:r>
            <w:r w:rsidRPr="00CE7E87">
              <w:rPr>
                <w:rFonts w:ascii="Verdana" w:hAnsi="Verdana" w:cs="Tahoma"/>
                <w:sz w:val="18"/>
              </w:rPr>
              <w:t xml:space="preserve"> </w:t>
            </w:r>
            <w:r w:rsidRPr="00A64ED8">
              <w:rPr>
                <w:rFonts w:ascii="Verdana" w:hAnsi="Verdana" w:cs="Tahoma"/>
                <w:sz w:val="16"/>
                <w:szCs w:val="16"/>
              </w:rPr>
              <w:t xml:space="preserve">health professions on clinical and program development </w:t>
            </w:r>
            <w:proofErr w:type="gramStart"/>
            <w:r w:rsidRPr="00A64ED8">
              <w:rPr>
                <w:rFonts w:ascii="Verdana" w:hAnsi="Verdana" w:cs="Tahoma"/>
                <w:sz w:val="16"/>
                <w:szCs w:val="16"/>
              </w:rPr>
              <w:t>issues;</w:t>
            </w:r>
            <w:proofErr w:type="gramEnd"/>
          </w:p>
          <w:p w14:paraId="6F026F4B" w14:textId="4B7479BF" w:rsidR="00EB2A9D" w:rsidRPr="00CE7E87" w:rsidRDefault="00EB2A9D" w:rsidP="00FC2E6A">
            <w:pPr>
              <w:numPr>
                <w:ilvl w:val="0"/>
                <w:numId w:val="9"/>
              </w:numPr>
              <w:rPr>
                <w:rFonts w:ascii="Verdana" w:hAnsi="Verdana" w:cs="Tahoma"/>
                <w:sz w:val="18"/>
              </w:rPr>
            </w:pPr>
            <w:r>
              <w:rPr>
                <w:rFonts w:ascii="Verdana" w:hAnsi="Verdana" w:cs="Tahoma"/>
                <w:sz w:val="16"/>
                <w:szCs w:val="16"/>
              </w:rPr>
              <w:t>GPA certificate an asset</w:t>
            </w:r>
          </w:p>
          <w:p w14:paraId="55EFB7E6" w14:textId="77777777" w:rsidR="00CE7E87" w:rsidRDefault="00CE7E87" w:rsidP="00E3114E">
            <w:pPr>
              <w:rPr>
                <w:rFonts w:ascii="Verdana" w:hAnsi="Verdana"/>
                <w:b/>
                <w:w w:val="92"/>
                <w:sz w:val="16"/>
                <w:szCs w:val="16"/>
              </w:rPr>
            </w:pPr>
          </w:p>
          <w:p w14:paraId="2ADF6926" w14:textId="294525EF" w:rsidR="001A1767" w:rsidRDefault="00E3114E" w:rsidP="00E3114E">
            <w:pPr>
              <w:rPr>
                <w:rFonts w:ascii="Verdana" w:hAnsi="Verdana"/>
                <w:b/>
                <w:w w:val="92"/>
                <w:sz w:val="16"/>
                <w:szCs w:val="16"/>
              </w:rPr>
            </w:pPr>
            <w:r w:rsidRPr="00CE14CE">
              <w:rPr>
                <w:rFonts w:ascii="Verdana" w:hAnsi="Verdana"/>
                <w:b/>
                <w:w w:val="92"/>
                <w:sz w:val="16"/>
                <w:szCs w:val="16"/>
              </w:rPr>
              <w:t>Date Posted</w:t>
            </w:r>
            <w:r w:rsidR="001A1767">
              <w:rPr>
                <w:rFonts w:ascii="Verdana" w:hAnsi="Verdana"/>
                <w:b/>
                <w:w w:val="92"/>
                <w:sz w:val="16"/>
                <w:szCs w:val="16"/>
              </w:rPr>
              <w:t>:   ASAP</w:t>
            </w:r>
          </w:p>
          <w:p w14:paraId="032B7BDD" w14:textId="629FE34A" w:rsidR="00E3114E" w:rsidRPr="00CE14CE" w:rsidRDefault="00E3114E" w:rsidP="00E3114E">
            <w:pPr>
              <w:rPr>
                <w:rFonts w:ascii="Verdana" w:hAnsi="Verdana"/>
                <w:w w:val="92"/>
                <w:sz w:val="16"/>
                <w:szCs w:val="16"/>
              </w:rPr>
            </w:pPr>
            <w:r w:rsidRPr="00CE14CE">
              <w:rPr>
                <w:rFonts w:ascii="Verdana" w:hAnsi="Verdana"/>
                <w:w w:val="92"/>
                <w:sz w:val="16"/>
                <w:szCs w:val="16"/>
              </w:rPr>
              <w:br/>
            </w:r>
            <w:r w:rsidRPr="00CE14CE">
              <w:rPr>
                <w:rFonts w:ascii="Verdana" w:hAnsi="Verdana"/>
                <w:b/>
                <w:w w:val="92"/>
                <w:sz w:val="16"/>
                <w:szCs w:val="16"/>
              </w:rPr>
              <w:t>Last Day for Application:</w:t>
            </w:r>
            <w:r w:rsidRPr="00CE14CE">
              <w:rPr>
                <w:rFonts w:ascii="Verdana" w:hAnsi="Verdana"/>
                <w:w w:val="92"/>
                <w:sz w:val="16"/>
                <w:szCs w:val="16"/>
              </w:rPr>
              <w:t xml:space="preserve"> </w:t>
            </w:r>
          </w:p>
          <w:p w14:paraId="363B6F9A" w14:textId="77777777" w:rsidR="00E3114E" w:rsidRPr="006F5110" w:rsidRDefault="00E3114E" w:rsidP="00E3114E">
            <w:pPr>
              <w:rPr>
                <w:rFonts w:ascii="Verdana" w:hAnsi="Verdana"/>
                <w:w w:val="92"/>
                <w:sz w:val="10"/>
                <w:szCs w:val="10"/>
              </w:rPr>
            </w:pPr>
          </w:p>
          <w:p w14:paraId="21354822" w14:textId="77777777" w:rsidR="00E3114E" w:rsidRPr="00DC5EEF" w:rsidRDefault="00E3114E" w:rsidP="00FC2E6A">
            <w:pPr>
              <w:pStyle w:val="ListParagraph"/>
              <w:numPr>
                <w:ilvl w:val="0"/>
                <w:numId w:val="9"/>
              </w:numPr>
              <w:spacing w:after="120"/>
              <w:jc w:val="both"/>
              <w:rPr>
                <w:rFonts w:ascii="Verdana" w:hAnsi="Verdana" w:cs="Arial"/>
                <w:w w:val="92"/>
                <w:sz w:val="14"/>
                <w:szCs w:val="14"/>
              </w:rPr>
            </w:pPr>
            <w:r w:rsidRPr="00DC5EEF">
              <w:rPr>
                <w:rFonts w:ascii="Verdana" w:hAnsi="Verdana" w:cs="Arial"/>
                <w:w w:val="92"/>
                <w:sz w:val="14"/>
                <w:szCs w:val="14"/>
              </w:rPr>
              <w:t>The location and/or details in the job posting may change depending on operational needs</w:t>
            </w:r>
            <w:r w:rsidR="00F6304B">
              <w:rPr>
                <w:rFonts w:ascii="Verdana" w:hAnsi="Verdana" w:cs="Arial"/>
                <w:w w:val="92"/>
                <w:sz w:val="14"/>
                <w:szCs w:val="14"/>
              </w:rPr>
              <w:t>.</w:t>
            </w:r>
          </w:p>
          <w:p w14:paraId="141CFB06" w14:textId="77777777" w:rsidR="00E3114E" w:rsidRPr="00DB717D" w:rsidRDefault="00E3114E" w:rsidP="00FC2E6A">
            <w:pPr>
              <w:pStyle w:val="ListParagraph"/>
              <w:numPr>
                <w:ilvl w:val="0"/>
                <w:numId w:val="9"/>
              </w:numPr>
              <w:spacing w:after="120"/>
              <w:rPr>
                <w:rFonts w:ascii="Verdana" w:hAnsi="Verdana" w:cs="Arial"/>
                <w:w w:val="92"/>
                <w:sz w:val="14"/>
                <w:szCs w:val="14"/>
              </w:rPr>
            </w:pPr>
            <w:r w:rsidRPr="00DB717D">
              <w:rPr>
                <w:rFonts w:ascii="Verdana" w:hAnsi="Verdana" w:cs="Arial"/>
                <w:w w:val="92"/>
                <w:sz w:val="14"/>
                <w:szCs w:val="14"/>
              </w:rPr>
              <w:lastRenderedPageBreak/>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00F6304B" w:rsidRPr="00DB717D">
              <w:rPr>
                <w:rFonts w:ascii="Verdana" w:hAnsi="Verdana" w:cs="Arial"/>
                <w:w w:val="92"/>
                <w:sz w:val="14"/>
                <w:szCs w:val="14"/>
                <w:u w:val="single"/>
              </w:rPr>
              <w:t>Résum</w:t>
            </w:r>
            <w:r w:rsidR="00F6304B">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14:paraId="36D6D146" w14:textId="77777777" w:rsidR="00FC606D" w:rsidRPr="009B454F" w:rsidRDefault="00E3114E" w:rsidP="00FC2E6A">
            <w:pPr>
              <w:pStyle w:val="ListParagraph"/>
              <w:numPr>
                <w:ilvl w:val="0"/>
                <w:numId w:val="9"/>
              </w:numPr>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Pr>
                <w:rFonts w:ascii="Verdana" w:hAnsi="Verdana" w:cs="Arial"/>
                <w:w w:val="93"/>
                <w:sz w:val="14"/>
                <w:szCs w:val="14"/>
              </w:rPr>
              <w:t>.</w:t>
            </w:r>
          </w:p>
          <w:p w14:paraId="6A2737D4" w14:textId="1E90AC01" w:rsidR="009B454F" w:rsidRDefault="009B454F" w:rsidP="00291B1A">
            <w:pPr>
              <w:spacing w:before="240"/>
              <w:jc w:val="both"/>
              <w:rPr>
                <w:rFonts w:ascii="Verdana" w:hAnsi="Verdana" w:cs="Arial"/>
                <w:w w:val="93"/>
                <w:sz w:val="12"/>
                <w:szCs w:val="12"/>
              </w:rPr>
            </w:pPr>
          </w:p>
          <w:p w14:paraId="6DB206B8" w14:textId="77777777" w:rsidR="009B454F" w:rsidRPr="009B454F" w:rsidRDefault="009B454F" w:rsidP="003643FA">
            <w:pPr>
              <w:jc w:val="both"/>
              <w:rPr>
                <w:rFonts w:ascii="Verdana" w:hAnsi="Verdana" w:cs="Arial"/>
                <w:w w:val="93"/>
                <w:sz w:val="12"/>
                <w:szCs w:val="12"/>
              </w:rPr>
            </w:pPr>
          </w:p>
        </w:tc>
      </w:tr>
    </w:tbl>
    <w:p w14:paraId="071AC363" w14:textId="77777777" w:rsidR="00D357ED" w:rsidRPr="00337073" w:rsidRDefault="00D357ED" w:rsidP="00337073">
      <w:pPr>
        <w:rPr>
          <w:sz w:val="6"/>
          <w:szCs w:val="6"/>
        </w:rPr>
      </w:pPr>
    </w:p>
    <w:sectPr w:rsidR="00D357ED" w:rsidRPr="00337073"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F30451"/>
    <w:multiLevelType w:val="hybridMultilevel"/>
    <w:tmpl w:val="97BC73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376CA6"/>
    <w:multiLevelType w:val="hybridMultilevel"/>
    <w:tmpl w:val="C9602372"/>
    <w:lvl w:ilvl="0" w:tplc="89841A5C">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3F0042"/>
    <w:multiLevelType w:val="hybridMultilevel"/>
    <w:tmpl w:val="7058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B5300"/>
    <w:multiLevelType w:val="multilevel"/>
    <w:tmpl w:val="CD50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4367B"/>
    <w:multiLevelType w:val="singleLevel"/>
    <w:tmpl w:val="89841A5C"/>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7" w15:restartNumberingAfterBreak="0">
    <w:nsid w:val="59C65046"/>
    <w:multiLevelType w:val="hybridMultilevel"/>
    <w:tmpl w:val="9B024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2A6FF1"/>
    <w:multiLevelType w:val="hybridMultilevel"/>
    <w:tmpl w:val="A5BCA0F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70D565B2"/>
    <w:multiLevelType w:val="hybridMultilevel"/>
    <w:tmpl w:val="433E2C52"/>
    <w:lvl w:ilvl="0" w:tplc="10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1263531">
    <w:abstractNumId w:val="6"/>
  </w:num>
  <w:num w:numId="2" w16cid:durableId="612789668">
    <w:abstractNumId w:val="0"/>
  </w:num>
  <w:num w:numId="3" w16cid:durableId="442068915">
    <w:abstractNumId w:val="3"/>
  </w:num>
  <w:num w:numId="4" w16cid:durableId="1691489821">
    <w:abstractNumId w:val="8"/>
  </w:num>
  <w:num w:numId="5" w16cid:durableId="1414163179">
    <w:abstractNumId w:val="9"/>
  </w:num>
  <w:num w:numId="6" w16cid:durableId="1487160077">
    <w:abstractNumId w:val="7"/>
  </w:num>
  <w:num w:numId="7" w16cid:durableId="1888444613">
    <w:abstractNumId w:val="1"/>
  </w:num>
  <w:num w:numId="8" w16cid:durableId="1848908390">
    <w:abstractNumId w:val="5"/>
  </w:num>
  <w:num w:numId="9" w16cid:durableId="1821070887">
    <w:abstractNumId w:val="2"/>
  </w:num>
  <w:num w:numId="10" w16cid:durableId="1241981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0170FE"/>
    <w:rsid w:val="0005013E"/>
    <w:rsid w:val="000D77AB"/>
    <w:rsid w:val="000F11CE"/>
    <w:rsid w:val="00132470"/>
    <w:rsid w:val="001A1767"/>
    <w:rsid w:val="00291B1A"/>
    <w:rsid w:val="002F6AB7"/>
    <w:rsid w:val="00327F72"/>
    <w:rsid w:val="003340DD"/>
    <w:rsid w:val="00337073"/>
    <w:rsid w:val="003457F2"/>
    <w:rsid w:val="003643FA"/>
    <w:rsid w:val="00374BB4"/>
    <w:rsid w:val="004605BC"/>
    <w:rsid w:val="00470ED2"/>
    <w:rsid w:val="004A1A86"/>
    <w:rsid w:val="004E6D92"/>
    <w:rsid w:val="00551A2A"/>
    <w:rsid w:val="005F33AA"/>
    <w:rsid w:val="00651705"/>
    <w:rsid w:val="00715A8D"/>
    <w:rsid w:val="0073457B"/>
    <w:rsid w:val="0074620D"/>
    <w:rsid w:val="00773EB5"/>
    <w:rsid w:val="00813322"/>
    <w:rsid w:val="008838FB"/>
    <w:rsid w:val="008929AA"/>
    <w:rsid w:val="008C5A7F"/>
    <w:rsid w:val="00994C67"/>
    <w:rsid w:val="009A22EE"/>
    <w:rsid w:val="009B454F"/>
    <w:rsid w:val="00A12A81"/>
    <w:rsid w:val="00A21E00"/>
    <w:rsid w:val="00A402B3"/>
    <w:rsid w:val="00A64ED8"/>
    <w:rsid w:val="00AB7B97"/>
    <w:rsid w:val="00CD4A4F"/>
    <w:rsid w:val="00CE14CE"/>
    <w:rsid w:val="00CE7E87"/>
    <w:rsid w:val="00D357ED"/>
    <w:rsid w:val="00DB717D"/>
    <w:rsid w:val="00DC5EEF"/>
    <w:rsid w:val="00E3114E"/>
    <w:rsid w:val="00EB2A9D"/>
    <w:rsid w:val="00EB6701"/>
    <w:rsid w:val="00EC3301"/>
    <w:rsid w:val="00EC571F"/>
    <w:rsid w:val="00F45167"/>
    <w:rsid w:val="00F5075A"/>
    <w:rsid w:val="00F6304B"/>
    <w:rsid w:val="00F864BF"/>
    <w:rsid w:val="00FC2E6A"/>
    <w:rsid w:val="00FC3B56"/>
    <w:rsid w:val="00FC60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CCE50"/>
  <w15:docId w15:val="{C6D503B3-7036-4371-A338-80CB96C2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E7E87"/>
    <w:pPr>
      <w:keepNext/>
      <w:spacing w:after="0" w:line="240" w:lineRule="auto"/>
      <w:jc w:val="center"/>
      <w:outlineLvl w:val="2"/>
    </w:pPr>
    <w:rPr>
      <w:rFonts w:ascii="Lucida Sans Unicode" w:eastAsia="Times New Roman" w:hAnsi="Lucida Sans Unicode" w:cs="Lucida Sans Unicode"/>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character" w:styleId="CommentReference">
    <w:name w:val="annotation reference"/>
    <w:basedOn w:val="DefaultParagraphFont"/>
    <w:uiPriority w:val="99"/>
    <w:semiHidden/>
    <w:unhideWhenUsed/>
    <w:rsid w:val="00551A2A"/>
    <w:rPr>
      <w:sz w:val="18"/>
      <w:szCs w:val="18"/>
    </w:rPr>
  </w:style>
  <w:style w:type="paragraph" w:styleId="CommentText">
    <w:name w:val="annotation text"/>
    <w:basedOn w:val="Normal"/>
    <w:link w:val="CommentTextChar"/>
    <w:uiPriority w:val="99"/>
    <w:unhideWhenUsed/>
    <w:rsid w:val="00551A2A"/>
    <w:pPr>
      <w:spacing w:line="240" w:lineRule="auto"/>
    </w:pPr>
    <w:rPr>
      <w:sz w:val="24"/>
      <w:szCs w:val="24"/>
    </w:rPr>
  </w:style>
  <w:style w:type="character" w:customStyle="1" w:styleId="CommentTextChar">
    <w:name w:val="Comment Text Char"/>
    <w:basedOn w:val="DefaultParagraphFont"/>
    <w:link w:val="CommentText"/>
    <w:uiPriority w:val="99"/>
    <w:rsid w:val="00551A2A"/>
    <w:rPr>
      <w:sz w:val="24"/>
      <w:szCs w:val="24"/>
    </w:rPr>
  </w:style>
  <w:style w:type="paragraph" w:styleId="CommentSubject">
    <w:name w:val="annotation subject"/>
    <w:basedOn w:val="CommentText"/>
    <w:next w:val="CommentText"/>
    <w:link w:val="CommentSubjectChar"/>
    <w:uiPriority w:val="99"/>
    <w:semiHidden/>
    <w:unhideWhenUsed/>
    <w:rsid w:val="00551A2A"/>
    <w:rPr>
      <w:b/>
      <w:bCs/>
      <w:sz w:val="20"/>
      <w:szCs w:val="20"/>
    </w:rPr>
  </w:style>
  <w:style w:type="character" w:customStyle="1" w:styleId="CommentSubjectChar">
    <w:name w:val="Comment Subject Char"/>
    <w:basedOn w:val="CommentTextChar"/>
    <w:link w:val="CommentSubject"/>
    <w:uiPriority w:val="99"/>
    <w:semiHidden/>
    <w:rsid w:val="00551A2A"/>
    <w:rPr>
      <w:b/>
      <w:bCs/>
      <w:sz w:val="20"/>
      <w:szCs w:val="20"/>
    </w:rPr>
  </w:style>
  <w:style w:type="character" w:customStyle="1" w:styleId="Heading3Char">
    <w:name w:val="Heading 3 Char"/>
    <w:basedOn w:val="DefaultParagraphFont"/>
    <w:link w:val="Heading3"/>
    <w:rsid w:val="00CE7E87"/>
    <w:rPr>
      <w:rFonts w:ascii="Lucida Sans Unicode" w:eastAsia="Times New Roman" w:hAnsi="Lucida Sans Unicode" w:cs="Lucida Sans Unicode"/>
      <w:b/>
      <w:bCs/>
      <w:sz w:val="24"/>
      <w:szCs w:val="24"/>
      <w:lang w:val="en-US"/>
    </w:rPr>
  </w:style>
  <w:style w:type="paragraph" w:styleId="Revision">
    <w:name w:val="Revision"/>
    <w:hidden/>
    <w:uiPriority w:val="99"/>
    <w:semiHidden/>
    <w:rsid w:val="00CD4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9918">
      <w:bodyDiv w:val="1"/>
      <w:marLeft w:val="0"/>
      <w:marRight w:val="0"/>
      <w:marTop w:val="0"/>
      <w:marBottom w:val="0"/>
      <w:divBdr>
        <w:top w:val="none" w:sz="0" w:space="0" w:color="auto"/>
        <w:left w:val="none" w:sz="0" w:space="0" w:color="auto"/>
        <w:bottom w:val="none" w:sz="0" w:space="0" w:color="auto"/>
        <w:right w:val="none" w:sz="0" w:space="0" w:color="auto"/>
      </w:divBdr>
    </w:div>
    <w:div w:id="628511364">
      <w:bodyDiv w:val="1"/>
      <w:marLeft w:val="0"/>
      <w:marRight w:val="0"/>
      <w:marTop w:val="0"/>
      <w:marBottom w:val="0"/>
      <w:divBdr>
        <w:top w:val="none" w:sz="0" w:space="0" w:color="auto"/>
        <w:left w:val="none" w:sz="0" w:space="0" w:color="auto"/>
        <w:bottom w:val="none" w:sz="0" w:space="0" w:color="auto"/>
        <w:right w:val="none" w:sz="0" w:space="0" w:color="auto"/>
      </w:divBdr>
    </w:div>
    <w:div w:id="806438817">
      <w:bodyDiv w:val="1"/>
      <w:marLeft w:val="0"/>
      <w:marRight w:val="0"/>
      <w:marTop w:val="0"/>
      <w:marBottom w:val="0"/>
      <w:divBdr>
        <w:top w:val="none" w:sz="0" w:space="0" w:color="auto"/>
        <w:left w:val="none" w:sz="0" w:space="0" w:color="auto"/>
        <w:bottom w:val="none" w:sz="0" w:space="0" w:color="auto"/>
        <w:right w:val="none" w:sz="0" w:space="0" w:color="auto"/>
      </w:divBdr>
    </w:div>
    <w:div w:id="930510099">
      <w:bodyDiv w:val="1"/>
      <w:marLeft w:val="0"/>
      <w:marRight w:val="0"/>
      <w:marTop w:val="0"/>
      <w:marBottom w:val="0"/>
      <w:divBdr>
        <w:top w:val="none" w:sz="0" w:space="0" w:color="auto"/>
        <w:left w:val="none" w:sz="0" w:space="0" w:color="auto"/>
        <w:bottom w:val="none" w:sz="0" w:space="0" w:color="auto"/>
        <w:right w:val="none" w:sz="0" w:space="0" w:color="auto"/>
      </w:divBdr>
    </w:div>
    <w:div w:id="21215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Hughes, Leanne</cp:lastModifiedBy>
  <cp:revision>2</cp:revision>
  <cp:lastPrinted>2018-10-22T19:59:00Z</cp:lastPrinted>
  <dcterms:created xsi:type="dcterms:W3CDTF">2026-04-22T12:31:00Z</dcterms:created>
  <dcterms:modified xsi:type="dcterms:W3CDTF">2026-04-22T12:31:00Z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